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DC54EA" w14:textId="77777777" w:rsidR="00C1491B" w:rsidRPr="00DB4A6D" w:rsidRDefault="00C1491B" w:rsidP="00DB4A6D">
      <w:pPr>
        <w:pStyle w:val="Styl5"/>
      </w:pPr>
      <w:bookmarkStart w:id="0" w:name="_Toc471302875"/>
      <w:r w:rsidRPr="00DB4A6D">
        <w:t>Obsah:</w:t>
      </w:r>
    </w:p>
    <w:p w14:paraId="5ACAC47E" w14:textId="618FBB01" w:rsidR="0007706A" w:rsidRDefault="00C1491B">
      <w:pPr>
        <w:pStyle w:val="Obsah1"/>
        <w:rPr>
          <w:rFonts w:asciiTheme="minorHAnsi" w:eastAsiaTheme="minorEastAsia" w:hAnsiTheme="minorHAnsi" w:cstheme="minorBidi"/>
          <w:noProof/>
          <w:kern w:val="2"/>
          <w14:ligatures w14:val="standardContextual"/>
        </w:rPr>
      </w:pPr>
      <w:r w:rsidRPr="00E9068D">
        <w:rPr>
          <w:b/>
          <w:bCs/>
          <w:caps/>
          <w:u w:val="single"/>
        </w:rPr>
        <w:fldChar w:fldCharType="begin"/>
      </w:r>
      <w:r w:rsidRPr="00E9068D">
        <w:rPr>
          <w:b/>
          <w:bCs/>
          <w:caps/>
          <w:u w:val="single"/>
        </w:rPr>
        <w:instrText xml:space="preserve"> TOC \o "1-3" \h \z \u </w:instrText>
      </w:r>
      <w:r w:rsidRPr="00E9068D">
        <w:rPr>
          <w:b/>
          <w:bCs/>
          <w:caps/>
          <w:u w:val="single"/>
        </w:rPr>
        <w:fldChar w:fldCharType="separate"/>
      </w:r>
      <w:hyperlink w:anchor="_Toc199415708" w:history="1">
        <w:r w:rsidR="0007706A" w:rsidRPr="007E5A4D">
          <w:rPr>
            <w:rStyle w:val="Hypertextovodkaz"/>
            <w:noProof/>
          </w:rPr>
          <w:t>1.</w:t>
        </w:r>
        <w:r w:rsidR="0007706A">
          <w:rPr>
            <w:rFonts w:asciiTheme="minorHAnsi" w:eastAsiaTheme="minorEastAsia" w:hAnsiTheme="minorHAnsi" w:cstheme="minorBidi"/>
            <w:noProof/>
            <w:kern w:val="2"/>
            <w14:ligatures w14:val="standardContextual"/>
          </w:rPr>
          <w:tab/>
        </w:r>
        <w:r w:rsidR="0007706A" w:rsidRPr="007E5A4D">
          <w:rPr>
            <w:rStyle w:val="Hypertextovodkaz"/>
            <w:noProof/>
          </w:rPr>
          <w:t>Stavební řešení</w:t>
        </w:r>
        <w:r w:rsidR="0007706A">
          <w:rPr>
            <w:noProof/>
            <w:webHidden/>
          </w:rPr>
          <w:tab/>
        </w:r>
        <w:r w:rsidR="0007706A">
          <w:rPr>
            <w:noProof/>
            <w:webHidden/>
          </w:rPr>
          <w:fldChar w:fldCharType="begin"/>
        </w:r>
        <w:r w:rsidR="0007706A">
          <w:rPr>
            <w:noProof/>
            <w:webHidden/>
          </w:rPr>
          <w:instrText xml:space="preserve"> PAGEREF _Toc199415708 \h </w:instrText>
        </w:r>
        <w:r w:rsidR="0007706A">
          <w:rPr>
            <w:noProof/>
            <w:webHidden/>
          </w:rPr>
        </w:r>
        <w:r w:rsidR="0007706A">
          <w:rPr>
            <w:noProof/>
            <w:webHidden/>
          </w:rPr>
          <w:fldChar w:fldCharType="separate"/>
        </w:r>
        <w:r w:rsidR="0007706A">
          <w:rPr>
            <w:noProof/>
            <w:webHidden/>
          </w:rPr>
          <w:t>- 2 -</w:t>
        </w:r>
        <w:r w:rsidR="0007706A">
          <w:rPr>
            <w:noProof/>
            <w:webHidden/>
          </w:rPr>
          <w:fldChar w:fldCharType="end"/>
        </w:r>
      </w:hyperlink>
    </w:p>
    <w:p w14:paraId="2FE10C29" w14:textId="3B563362" w:rsidR="0007706A" w:rsidRDefault="0007706A">
      <w:pPr>
        <w:pStyle w:val="Obsah2"/>
        <w:tabs>
          <w:tab w:val="left" w:pos="1702"/>
        </w:tabs>
        <w:rPr>
          <w:rFonts w:asciiTheme="minorHAnsi" w:eastAsiaTheme="minorEastAsia" w:hAnsiTheme="minorHAnsi" w:cstheme="minorBidi"/>
          <w:noProof/>
          <w:kern w:val="2"/>
          <w14:ligatures w14:val="standardContextual"/>
        </w:rPr>
      </w:pPr>
      <w:hyperlink w:anchor="_Toc199415709" w:history="1">
        <w:r w:rsidRPr="007E5A4D">
          <w:rPr>
            <w:rStyle w:val="Hypertextovodkaz"/>
            <w:noProof/>
          </w:rPr>
          <w:t>1.1</w:t>
        </w:r>
        <w:r>
          <w:rPr>
            <w:rFonts w:asciiTheme="minorHAnsi" w:eastAsiaTheme="minorEastAsia" w:hAnsiTheme="minorHAnsi" w:cstheme="minorBidi"/>
            <w:noProof/>
            <w:kern w:val="2"/>
            <w14:ligatures w14:val="standardContextual"/>
          </w:rPr>
          <w:tab/>
        </w:r>
        <w:r w:rsidRPr="007E5A4D">
          <w:rPr>
            <w:rStyle w:val="Hypertextovodkaz"/>
            <w:noProof/>
          </w:rPr>
          <w:t>Stoky jednotné kanalizace</w:t>
        </w:r>
        <w:r>
          <w:rPr>
            <w:noProof/>
            <w:webHidden/>
          </w:rPr>
          <w:tab/>
        </w:r>
        <w:r>
          <w:rPr>
            <w:noProof/>
            <w:webHidden/>
          </w:rPr>
          <w:fldChar w:fldCharType="begin"/>
        </w:r>
        <w:r>
          <w:rPr>
            <w:noProof/>
            <w:webHidden/>
          </w:rPr>
          <w:instrText xml:space="preserve"> PAGEREF _Toc199415709 \h </w:instrText>
        </w:r>
        <w:r>
          <w:rPr>
            <w:noProof/>
            <w:webHidden/>
          </w:rPr>
        </w:r>
        <w:r>
          <w:rPr>
            <w:noProof/>
            <w:webHidden/>
          </w:rPr>
          <w:fldChar w:fldCharType="separate"/>
        </w:r>
        <w:r>
          <w:rPr>
            <w:noProof/>
            <w:webHidden/>
          </w:rPr>
          <w:t>- 3 -</w:t>
        </w:r>
        <w:r>
          <w:rPr>
            <w:noProof/>
            <w:webHidden/>
          </w:rPr>
          <w:fldChar w:fldCharType="end"/>
        </w:r>
      </w:hyperlink>
    </w:p>
    <w:p w14:paraId="679C5A6F" w14:textId="5125B818" w:rsidR="0007706A" w:rsidRDefault="0007706A">
      <w:pPr>
        <w:pStyle w:val="Obsah3"/>
        <w:rPr>
          <w:rFonts w:asciiTheme="minorHAnsi" w:eastAsiaTheme="minorEastAsia" w:hAnsiTheme="minorHAnsi" w:cstheme="minorBidi"/>
          <w:noProof/>
          <w:kern w:val="2"/>
          <w14:ligatures w14:val="standardContextual"/>
        </w:rPr>
      </w:pPr>
      <w:hyperlink w:anchor="_Toc199415710" w:history="1">
        <w:r w:rsidRPr="007E5A4D">
          <w:rPr>
            <w:rStyle w:val="Hypertextovodkaz"/>
            <w:noProof/>
          </w:rPr>
          <w:t>a)</w:t>
        </w:r>
        <w:r>
          <w:rPr>
            <w:rFonts w:asciiTheme="minorHAnsi" w:eastAsiaTheme="minorEastAsia" w:hAnsiTheme="minorHAnsi" w:cstheme="minorBidi"/>
            <w:noProof/>
            <w:kern w:val="2"/>
            <w14:ligatures w14:val="standardContextual"/>
          </w:rPr>
          <w:tab/>
        </w:r>
        <w:r w:rsidRPr="007E5A4D">
          <w:rPr>
            <w:rStyle w:val="Hypertextovodkaz"/>
            <w:noProof/>
          </w:rPr>
          <w:t>Popis stok jednotné kanalizace</w:t>
        </w:r>
        <w:r>
          <w:rPr>
            <w:noProof/>
            <w:webHidden/>
          </w:rPr>
          <w:tab/>
        </w:r>
        <w:r>
          <w:rPr>
            <w:noProof/>
            <w:webHidden/>
          </w:rPr>
          <w:fldChar w:fldCharType="begin"/>
        </w:r>
        <w:r>
          <w:rPr>
            <w:noProof/>
            <w:webHidden/>
          </w:rPr>
          <w:instrText xml:space="preserve"> PAGEREF _Toc199415710 \h </w:instrText>
        </w:r>
        <w:r>
          <w:rPr>
            <w:noProof/>
            <w:webHidden/>
          </w:rPr>
        </w:r>
        <w:r>
          <w:rPr>
            <w:noProof/>
            <w:webHidden/>
          </w:rPr>
          <w:fldChar w:fldCharType="separate"/>
        </w:r>
        <w:r>
          <w:rPr>
            <w:noProof/>
            <w:webHidden/>
          </w:rPr>
          <w:t>- 3 -</w:t>
        </w:r>
        <w:r>
          <w:rPr>
            <w:noProof/>
            <w:webHidden/>
          </w:rPr>
          <w:fldChar w:fldCharType="end"/>
        </w:r>
      </w:hyperlink>
    </w:p>
    <w:p w14:paraId="7446307C" w14:textId="3923DA1F" w:rsidR="0007706A" w:rsidRDefault="0007706A">
      <w:pPr>
        <w:pStyle w:val="Obsah3"/>
        <w:rPr>
          <w:rFonts w:asciiTheme="minorHAnsi" w:eastAsiaTheme="minorEastAsia" w:hAnsiTheme="minorHAnsi" w:cstheme="minorBidi"/>
          <w:noProof/>
          <w:kern w:val="2"/>
          <w14:ligatures w14:val="standardContextual"/>
        </w:rPr>
      </w:pPr>
      <w:hyperlink w:anchor="_Toc199415711" w:history="1">
        <w:r w:rsidRPr="007E5A4D">
          <w:rPr>
            <w:rStyle w:val="Hypertextovodkaz"/>
            <w:noProof/>
          </w:rPr>
          <w:t>b)</w:t>
        </w:r>
        <w:r>
          <w:rPr>
            <w:rFonts w:asciiTheme="minorHAnsi" w:eastAsiaTheme="minorEastAsia" w:hAnsiTheme="minorHAnsi" w:cstheme="minorBidi"/>
            <w:noProof/>
            <w:kern w:val="2"/>
            <w14:ligatures w14:val="standardContextual"/>
          </w:rPr>
          <w:tab/>
        </w:r>
        <w:r w:rsidRPr="007E5A4D">
          <w:rPr>
            <w:rStyle w:val="Hypertextovodkaz"/>
            <w:noProof/>
          </w:rPr>
          <w:t>Společné zásady technického řešení rekonstrukce kanalizace</w:t>
        </w:r>
        <w:r>
          <w:rPr>
            <w:noProof/>
            <w:webHidden/>
          </w:rPr>
          <w:tab/>
        </w:r>
        <w:r>
          <w:rPr>
            <w:noProof/>
            <w:webHidden/>
          </w:rPr>
          <w:fldChar w:fldCharType="begin"/>
        </w:r>
        <w:r>
          <w:rPr>
            <w:noProof/>
            <w:webHidden/>
          </w:rPr>
          <w:instrText xml:space="preserve"> PAGEREF _Toc199415711 \h </w:instrText>
        </w:r>
        <w:r>
          <w:rPr>
            <w:noProof/>
            <w:webHidden/>
          </w:rPr>
        </w:r>
        <w:r>
          <w:rPr>
            <w:noProof/>
            <w:webHidden/>
          </w:rPr>
          <w:fldChar w:fldCharType="separate"/>
        </w:r>
        <w:r>
          <w:rPr>
            <w:noProof/>
            <w:webHidden/>
          </w:rPr>
          <w:t>- 3 -</w:t>
        </w:r>
        <w:r>
          <w:rPr>
            <w:noProof/>
            <w:webHidden/>
          </w:rPr>
          <w:fldChar w:fldCharType="end"/>
        </w:r>
      </w:hyperlink>
    </w:p>
    <w:p w14:paraId="43BEEEEC" w14:textId="02F99428" w:rsidR="0007706A" w:rsidRDefault="0007706A">
      <w:pPr>
        <w:pStyle w:val="Obsah3"/>
        <w:rPr>
          <w:rFonts w:asciiTheme="minorHAnsi" w:eastAsiaTheme="minorEastAsia" w:hAnsiTheme="minorHAnsi" w:cstheme="minorBidi"/>
          <w:noProof/>
          <w:kern w:val="2"/>
          <w14:ligatures w14:val="standardContextual"/>
        </w:rPr>
      </w:pPr>
      <w:hyperlink w:anchor="_Toc199415712" w:history="1">
        <w:r w:rsidRPr="007E5A4D">
          <w:rPr>
            <w:rStyle w:val="Hypertextovodkaz"/>
            <w:noProof/>
          </w:rPr>
          <w:t>c)</w:t>
        </w:r>
        <w:r>
          <w:rPr>
            <w:rFonts w:asciiTheme="minorHAnsi" w:eastAsiaTheme="minorEastAsia" w:hAnsiTheme="minorHAnsi" w:cstheme="minorBidi"/>
            <w:noProof/>
            <w:kern w:val="2"/>
            <w14:ligatures w14:val="standardContextual"/>
          </w:rPr>
          <w:tab/>
        </w:r>
        <w:r w:rsidRPr="007E5A4D">
          <w:rPr>
            <w:rStyle w:val="Hypertextovodkaz"/>
            <w:noProof/>
          </w:rPr>
          <w:t>Postup převodu splaškových vod</w:t>
        </w:r>
        <w:r>
          <w:rPr>
            <w:noProof/>
            <w:webHidden/>
          </w:rPr>
          <w:tab/>
        </w:r>
        <w:r>
          <w:rPr>
            <w:noProof/>
            <w:webHidden/>
          </w:rPr>
          <w:fldChar w:fldCharType="begin"/>
        </w:r>
        <w:r>
          <w:rPr>
            <w:noProof/>
            <w:webHidden/>
          </w:rPr>
          <w:instrText xml:space="preserve"> PAGEREF _Toc199415712 \h </w:instrText>
        </w:r>
        <w:r>
          <w:rPr>
            <w:noProof/>
            <w:webHidden/>
          </w:rPr>
        </w:r>
        <w:r>
          <w:rPr>
            <w:noProof/>
            <w:webHidden/>
          </w:rPr>
          <w:fldChar w:fldCharType="separate"/>
        </w:r>
        <w:r>
          <w:rPr>
            <w:noProof/>
            <w:webHidden/>
          </w:rPr>
          <w:t>- 5 -</w:t>
        </w:r>
        <w:r>
          <w:rPr>
            <w:noProof/>
            <w:webHidden/>
          </w:rPr>
          <w:fldChar w:fldCharType="end"/>
        </w:r>
      </w:hyperlink>
    </w:p>
    <w:p w14:paraId="0EE0A08A" w14:textId="3D4327F8" w:rsidR="0007706A" w:rsidRDefault="0007706A">
      <w:pPr>
        <w:pStyle w:val="Obsah3"/>
        <w:rPr>
          <w:rFonts w:asciiTheme="minorHAnsi" w:eastAsiaTheme="minorEastAsia" w:hAnsiTheme="minorHAnsi" w:cstheme="minorBidi"/>
          <w:noProof/>
          <w:kern w:val="2"/>
          <w14:ligatures w14:val="standardContextual"/>
        </w:rPr>
      </w:pPr>
      <w:hyperlink w:anchor="_Toc199415713" w:history="1">
        <w:r w:rsidRPr="007E5A4D">
          <w:rPr>
            <w:rStyle w:val="Hypertextovodkaz"/>
            <w:noProof/>
          </w:rPr>
          <w:t>d)</w:t>
        </w:r>
        <w:r>
          <w:rPr>
            <w:rFonts w:asciiTheme="minorHAnsi" w:eastAsiaTheme="minorEastAsia" w:hAnsiTheme="minorHAnsi" w:cstheme="minorBidi"/>
            <w:noProof/>
            <w:kern w:val="2"/>
            <w14:ligatures w14:val="standardContextual"/>
          </w:rPr>
          <w:tab/>
        </w:r>
        <w:r w:rsidRPr="007E5A4D">
          <w:rPr>
            <w:rStyle w:val="Hypertextovodkaz"/>
            <w:noProof/>
          </w:rPr>
          <w:t>Zkoušky stok</w:t>
        </w:r>
        <w:r>
          <w:rPr>
            <w:noProof/>
            <w:webHidden/>
          </w:rPr>
          <w:tab/>
        </w:r>
        <w:r>
          <w:rPr>
            <w:noProof/>
            <w:webHidden/>
          </w:rPr>
          <w:fldChar w:fldCharType="begin"/>
        </w:r>
        <w:r>
          <w:rPr>
            <w:noProof/>
            <w:webHidden/>
          </w:rPr>
          <w:instrText xml:space="preserve"> PAGEREF _Toc199415713 \h </w:instrText>
        </w:r>
        <w:r>
          <w:rPr>
            <w:noProof/>
            <w:webHidden/>
          </w:rPr>
        </w:r>
        <w:r>
          <w:rPr>
            <w:noProof/>
            <w:webHidden/>
          </w:rPr>
          <w:fldChar w:fldCharType="separate"/>
        </w:r>
        <w:r>
          <w:rPr>
            <w:noProof/>
            <w:webHidden/>
          </w:rPr>
          <w:t>- 5 -</w:t>
        </w:r>
        <w:r>
          <w:rPr>
            <w:noProof/>
            <w:webHidden/>
          </w:rPr>
          <w:fldChar w:fldCharType="end"/>
        </w:r>
      </w:hyperlink>
    </w:p>
    <w:p w14:paraId="5A7B8893" w14:textId="2D1C11FA" w:rsidR="0007706A" w:rsidRDefault="0007706A">
      <w:pPr>
        <w:pStyle w:val="Obsah2"/>
        <w:tabs>
          <w:tab w:val="left" w:pos="1702"/>
        </w:tabs>
        <w:rPr>
          <w:rFonts w:asciiTheme="minorHAnsi" w:eastAsiaTheme="minorEastAsia" w:hAnsiTheme="minorHAnsi" w:cstheme="minorBidi"/>
          <w:noProof/>
          <w:kern w:val="2"/>
          <w14:ligatures w14:val="standardContextual"/>
        </w:rPr>
      </w:pPr>
      <w:hyperlink w:anchor="_Toc199415714" w:history="1">
        <w:r w:rsidRPr="007E5A4D">
          <w:rPr>
            <w:rStyle w:val="Hypertextovodkaz"/>
            <w:noProof/>
          </w:rPr>
          <w:t>1.2</w:t>
        </w:r>
        <w:r>
          <w:rPr>
            <w:rFonts w:asciiTheme="minorHAnsi" w:eastAsiaTheme="minorEastAsia" w:hAnsiTheme="minorHAnsi" w:cstheme="minorBidi"/>
            <w:noProof/>
            <w:kern w:val="2"/>
            <w14:ligatures w14:val="standardContextual"/>
          </w:rPr>
          <w:tab/>
        </w:r>
        <w:r w:rsidRPr="007E5A4D">
          <w:rPr>
            <w:rStyle w:val="Hypertextovodkaz"/>
            <w:noProof/>
          </w:rPr>
          <w:t>Jednotné kanalizační přípojky</w:t>
        </w:r>
        <w:r>
          <w:rPr>
            <w:noProof/>
            <w:webHidden/>
          </w:rPr>
          <w:tab/>
        </w:r>
        <w:r>
          <w:rPr>
            <w:noProof/>
            <w:webHidden/>
          </w:rPr>
          <w:fldChar w:fldCharType="begin"/>
        </w:r>
        <w:r>
          <w:rPr>
            <w:noProof/>
            <w:webHidden/>
          </w:rPr>
          <w:instrText xml:space="preserve"> PAGEREF _Toc199415714 \h </w:instrText>
        </w:r>
        <w:r>
          <w:rPr>
            <w:noProof/>
            <w:webHidden/>
          </w:rPr>
        </w:r>
        <w:r>
          <w:rPr>
            <w:noProof/>
            <w:webHidden/>
          </w:rPr>
          <w:fldChar w:fldCharType="separate"/>
        </w:r>
        <w:r>
          <w:rPr>
            <w:noProof/>
            <w:webHidden/>
          </w:rPr>
          <w:t>- 6 -</w:t>
        </w:r>
        <w:r>
          <w:rPr>
            <w:noProof/>
            <w:webHidden/>
          </w:rPr>
          <w:fldChar w:fldCharType="end"/>
        </w:r>
      </w:hyperlink>
    </w:p>
    <w:p w14:paraId="50336351" w14:textId="42012653" w:rsidR="0007706A" w:rsidRDefault="0007706A">
      <w:pPr>
        <w:pStyle w:val="Obsah3"/>
        <w:rPr>
          <w:rFonts w:asciiTheme="minorHAnsi" w:eastAsiaTheme="minorEastAsia" w:hAnsiTheme="minorHAnsi" w:cstheme="minorBidi"/>
          <w:noProof/>
          <w:kern w:val="2"/>
          <w14:ligatures w14:val="standardContextual"/>
        </w:rPr>
      </w:pPr>
      <w:hyperlink w:anchor="_Toc199415715" w:history="1">
        <w:r w:rsidRPr="007E5A4D">
          <w:rPr>
            <w:rStyle w:val="Hypertextovodkaz"/>
            <w:noProof/>
          </w:rPr>
          <w:t>a)</w:t>
        </w:r>
        <w:r>
          <w:rPr>
            <w:rFonts w:asciiTheme="minorHAnsi" w:eastAsiaTheme="minorEastAsia" w:hAnsiTheme="minorHAnsi" w:cstheme="minorBidi"/>
            <w:noProof/>
            <w:kern w:val="2"/>
            <w14:ligatures w14:val="standardContextual"/>
          </w:rPr>
          <w:tab/>
        </w:r>
        <w:r w:rsidRPr="007E5A4D">
          <w:rPr>
            <w:rStyle w:val="Hypertextovodkaz"/>
            <w:noProof/>
          </w:rPr>
          <w:t>Popis přípojek jednotné kanalizace</w:t>
        </w:r>
        <w:r>
          <w:rPr>
            <w:noProof/>
            <w:webHidden/>
          </w:rPr>
          <w:tab/>
        </w:r>
        <w:r>
          <w:rPr>
            <w:noProof/>
            <w:webHidden/>
          </w:rPr>
          <w:fldChar w:fldCharType="begin"/>
        </w:r>
        <w:r>
          <w:rPr>
            <w:noProof/>
            <w:webHidden/>
          </w:rPr>
          <w:instrText xml:space="preserve"> PAGEREF _Toc199415715 \h </w:instrText>
        </w:r>
        <w:r>
          <w:rPr>
            <w:noProof/>
            <w:webHidden/>
          </w:rPr>
        </w:r>
        <w:r>
          <w:rPr>
            <w:noProof/>
            <w:webHidden/>
          </w:rPr>
          <w:fldChar w:fldCharType="separate"/>
        </w:r>
        <w:r>
          <w:rPr>
            <w:noProof/>
            <w:webHidden/>
          </w:rPr>
          <w:t>- 6 -</w:t>
        </w:r>
        <w:r>
          <w:rPr>
            <w:noProof/>
            <w:webHidden/>
          </w:rPr>
          <w:fldChar w:fldCharType="end"/>
        </w:r>
      </w:hyperlink>
    </w:p>
    <w:p w14:paraId="5E75F430" w14:textId="388C6FB3" w:rsidR="0007706A" w:rsidRDefault="0007706A">
      <w:pPr>
        <w:pStyle w:val="Obsah3"/>
        <w:rPr>
          <w:rFonts w:asciiTheme="minorHAnsi" w:eastAsiaTheme="minorEastAsia" w:hAnsiTheme="minorHAnsi" w:cstheme="minorBidi"/>
          <w:noProof/>
          <w:kern w:val="2"/>
          <w14:ligatures w14:val="standardContextual"/>
        </w:rPr>
      </w:pPr>
      <w:hyperlink w:anchor="_Toc199415716" w:history="1">
        <w:r w:rsidRPr="007E5A4D">
          <w:rPr>
            <w:rStyle w:val="Hypertextovodkaz"/>
            <w:noProof/>
          </w:rPr>
          <w:t>b)</w:t>
        </w:r>
        <w:r>
          <w:rPr>
            <w:rFonts w:asciiTheme="minorHAnsi" w:eastAsiaTheme="minorEastAsia" w:hAnsiTheme="minorHAnsi" w:cstheme="minorBidi"/>
            <w:noProof/>
            <w:kern w:val="2"/>
            <w14:ligatures w14:val="standardContextual"/>
          </w:rPr>
          <w:tab/>
        </w:r>
        <w:r w:rsidRPr="007E5A4D">
          <w:rPr>
            <w:rStyle w:val="Hypertextovodkaz"/>
            <w:noProof/>
          </w:rPr>
          <w:t>Společné zásady technického řešení rekonstrukce kanalizačních přípojek</w:t>
        </w:r>
        <w:r>
          <w:rPr>
            <w:noProof/>
            <w:webHidden/>
          </w:rPr>
          <w:tab/>
        </w:r>
        <w:r>
          <w:rPr>
            <w:noProof/>
            <w:webHidden/>
          </w:rPr>
          <w:fldChar w:fldCharType="begin"/>
        </w:r>
        <w:r>
          <w:rPr>
            <w:noProof/>
            <w:webHidden/>
          </w:rPr>
          <w:instrText xml:space="preserve"> PAGEREF _Toc199415716 \h </w:instrText>
        </w:r>
        <w:r>
          <w:rPr>
            <w:noProof/>
            <w:webHidden/>
          </w:rPr>
        </w:r>
        <w:r>
          <w:rPr>
            <w:noProof/>
            <w:webHidden/>
          </w:rPr>
          <w:fldChar w:fldCharType="separate"/>
        </w:r>
        <w:r>
          <w:rPr>
            <w:noProof/>
            <w:webHidden/>
          </w:rPr>
          <w:t>- 6 -</w:t>
        </w:r>
        <w:r>
          <w:rPr>
            <w:noProof/>
            <w:webHidden/>
          </w:rPr>
          <w:fldChar w:fldCharType="end"/>
        </w:r>
      </w:hyperlink>
    </w:p>
    <w:p w14:paraId="6E25C680" w14:textId="3ED4B629" w:rsidR="0007706A" w:rsidRDefault="0007706A">
      <w:pPr>
        <w:pStyle w:val="Obsah2"/>
        <w:tabs>
          <w:tab w:val="left" w:pos="1702"/>
        </w:tabs>
        <w:rPr>
          <w:rFonts w:asciiTheme="minorHAnsi" w:eastAsiaTheme="minorEastAsia" w:hAnsiTheme="minorHAnsi" w:cstheme="minorBidi"/>
          <w:noProof/>
          <w:kern w:val="2"/>
          <w14:ligatures w14:val="standardContextual"/>
        </w:rPr>
      </w:pPr>
      <w:hyperlink w:anchor="_Toc199415717" w:history="1">
        <w:r w:rsidRPr="007E5A4D">
          <w:rPr>
            <w:rStyle w:val="Hypertextovodkaz"/>
            <w:noProof/>
          </w:rPr>
          <w:t>1.3</w:t>
        </w:r>
        <w:r>
          <w:rPr>
            <w:rFonts w:asciiTheme="minorHAnsi" w:eastAsiaTheme="minorEastAsia" w:hAnsiTheme="minorHAnsi" w:cstheme="minorBidi"/>
            <w:noProof/>
            <w:kern w:val="2"/>
            <w14:ligatures w14:val="standardContextual"/>
          </w:rPr>
          <w:tab/>
        </w:r>
        <w:r w:rsidRPr="007E5A4D">
          <w:rPr>
            <w:rStyle w:val="Hypertextovodkaz"/>
            <w:noProof/>
          </w:rPr>
          <w:t>Bourací a ostatní práce</w:t>
        </w:r>
        <w:r>
          <w:rPr>
            <w:noProof/>
            <w:webHidden/>
          </w:rPr>
          <w:tab/>
        </w:r>
        <w:r>
          <w:rPr>
            <w:noProof/>
            <w:webHidden/>
          </w:rPr>
          <w:fldChar w:fldCharType="begin"/>
        </w:r>
        <w:r>
          <w:rPr>
            <w:noProof/>
            <w:webHidden/>
          </w:rPr>
          <w:instrText xml:space="preserve"> PAGEREF _Toc199415717 \h </w:instrText>
        </w:r>
        <w:r>
          <w:rPr>
            <w:noProof/>
            <w:webHidden/>
          </w:rPr>
        </w:r>
        <w:r>
          <w:rPr>
            <w:noProof/>
            <w:webHidden/>
          </w:rPr>
          <w:fldChar w:fldCharType="separate"/>
        </w:r>
        <w:r>
          <w:rPr>
            <w:noProof/>
            <w:webHidden/>
          </w:rPr>
          <w:t>- 7 -</w:t>
        </w:r>
        <w:r>
          <w:rPr>
            <w:noProof/>
            <w:webHidden/>
          </w:rPr>
          <w:fldChar w:fldCharType="end"/>
        </w:r>
      </w:hyperlink>
    </w:p>
    <w:p w14:paraId="3A3D2060" w14:textId="6BD3AD96" w:rsidR="0007706A" w:rsidRDefault="0007706A">
      <w:pPr>
        <w:pStyle w:val="Obsah1"/>
        <w:rPr>
          <w:rFonts w:asciiTheme="minorHAnsi" w:eastAsiaTheme="minorEastAsia" w:hAnsiTheme="minorHAnsi" w:cstheme="minorBidi"/>
          <w:noProof/>
          <w:kern w:val="2"/>
          <w14:ligatures w14:val="standardContextual"/>
        </w:rPr>
      </w:pPr>
      <w:hyperlink w:anchor="_Toc199415718" w:history="1">
        <w:r w:rsidRPr="007E5A4D">
          <w:rPr>
            <w:rStyle w:val="Hypertextovodkaz"/>
            <w:noProof/>
          </w:rPr>
          <w:t>2.</w:t>
        </w:r>
        <w:r>
          <w:rPr>
            <w:rFonts w:asciiTheme="minorHAnsi" w:eastAsiaTheme="minorEastAsia" w:hAnsiTheme="minorHAnsi" w:cstheme="minorBidi"/>
            <w:noProof/>
            <w:kern w:val="2"/>
            <w14:ligatures w14:val="standardContextual"/>
          </w:rPr>
          <w:tab/>
        </w:r>
        <w:r w:rsidRPr="007E5A4D">
          <w:rPr>
            <w:rStyle w:val="Hypertextovodkaz"/>
            <w:noProof/>
          </w:rPr>
          <w:t>Pevné měřičské body a vytýčení stavby</w:t>
        </w:r>
        <w:r>
          <w:rPr>
            <w:noProof/>
            <w:webHidden/>
          </w:rPr>
          <w:tab/>
        </w:r>
        <w:r>
          <w:rPr>
            <w:noProof/>
            <w:webHidden/>
          </w:rPr>
          <w:fldChar w:fldCharType="begin"/>
        </w:r>
        <w:r>
          <w:rPr>
            <w:noProof/>
            <w:webHidden/>
          </w:rPr>
          <w:instrText xml:space="preserve"> PAGEREF _Toc199415718 \h </w:instrText>
        </w:r>
        <w:r>
          <w:rPr>
            <w:noProof/>
            <w:webHidden/>
          </w:rPr>
        </w:r>
        <w:r>
          <w:rPr>
            <w:noProof/>
            <w:webHidden/>
          </w:rPr>
          <w:fldChar w:fldCharType="separate"/>
        </w:r>
        <w:r>
          <w:rPr>
            <w:noProof/>
            <w:webHidden/>
          </w:rPr>
          <w:t>- 7 -</w:t>
        </w:r>
        <w:r>
          <w:rPr>
            <w:noProof/>
            <w:webHidden/>
          </w:rPr>
          <w:fldChar w:fldCharType="end"/>
        </w:r>
      </w:hyperlink>
    </w:p>
    <w:p w14:paraId="560FD0B9" w14:textId="3E0CF135" w:rsidR="0007706A" w:rsidRDefault="0007706A">
      <w:pPr>
        <w:pStyle w:val="Obsah1"/>
        <w:rPr>
          <w:rFonts w:asciiTheme="minorHAnsi" w:eastAsiaTheme="minorEastAsia" w:hAnsiTheme="minorHAnsi" w:cstheme="minorBidi"/>
          <w:noProof/>
          <w:kern w:val="2"/>
          <w14:ligatures w14:val="standardContextual"/>
        </w:rPr>
      </w:pPr>
      <w:hyperlink w:anchor="_Toc199415719" w:history="1">
        <w:r w:rsidRPr="007E5A4D">
          <w:rPr>
            <w:rStyle w:val="Hypertextovodkaz"/>
            <w:noProof/>
          </w:rPr>
          <w:t>3.</w:t>
        </w:r>
        <w:r>
          <w:rPr>
            <w:rFonts w:asciiTheme="minorHAnsi" w:eastAsiaTheme="minorEastAsia" w:hAnsiTheme="minorHAnsi" w:cstheme="minorBidi"/>
            <w:noProof/>
            <w:kern w:val="2"/>
            <w14:ligatures w14:val="standardContextual"/>
          </w:rPr>
          <w:tab/>
        </w:r>
        <w:r w:rsidRPr="007E5A4D">
          <w:rPr>
            <w:rStyle w:val="Hypertextovodkaz"/>
            <w:noProof/>
          </w:rPr>
          <w:t>Požárně bezpečnostní řešení</w:t>
        </w:r>
        <w:r>
          <w:rPr>
            <w:noProof/>
            <w:webHidden/>
          </w:rPr>
          <w:tab/>
        </w:r>
        <w:r>
          <w:rPr>
            <w:noProof/>
            <w:webHidden/>
          </w:rPr>
          <w:fldChar w:fldCharType="begin"/>
        </w:r>
        <w:r>
          <w:rPr>
            <w:noProof/>
            <w:webHidden/>
          </w:rPr>
          <w:instrText xml:space="preserve"> PAGEREF _Toc199415719 \h </w:instrText>
        </w:r>
        <w:r>
          <w:rPr>
            <w:noProof/>
            <w:webHidden/>
          </w:rPr>
        </w:r>
        <w:r>
          <w:rPr>
            <w:noProof/>
            <w:webHidden/>
          </w:rPr>
          <w:fldChar w:fldCharType="separate"/>
        </w:r>
        <w:r>
          <w:rPr>
            <w:noProof/>
            <w:webHidden/>
          </w:rPr>
          <w:t>- 7 -</w:t>
        </w:r>
        <w:r>
          <w:rPr>
            <w:noProof/>
            <w:webHidden/>
          </w:rPr>
          <w:fldChar w:fldCharType="end"/>
        </w:r>
      </w:hyperlink>
    </w:p>
    <w:p w14:paraId="37C73ED8" w14:textId="1EE46ABA" w:rsidR="0007706A" w:rsidRDefault="0007706A">
      <w:pPr>
        <w:pStyle w:val="Obsah1"/>
        <w:rPr>
          <w:rFonts w:asciiTheme="minorHAnsi" w:eastAsiaTheme="minorEastAsia" w:hAnsiTheme="minorHAnsi" w:cstheme="minorBidi"/>
          <w:noProof/>
          <w:kern w:val="2"/>
          <w14:ligatures w14:val="standardContextual"/>
        </w:rPr>
      </w:pPr>
      <w:hyperlink w:anchor="_Toc199415720" w:history="1">
        <w:r w:rsidRPr="007E5A4D">
          <w:rPr>
            <w:rStyle w:val="Hypertextovodkaz"/>
            <w:noProof/>
          </w:rPr>
          <w:t>4.</w:t>
        </w:r>
        <w:r>
          <w:rPr>
            <w:rFonts w:asciiTheme="minorHAnsi" w:eastAsiaTheme="minorEastAsia" w:hAnsiTheme="minorHAnsi" w:cstheme="minorBidi"/>
            <w:noProof/>
            <w:kern w:val="2"/>
            <w14:ligatures w14:val="standardContextual"/>
          </w:rPr>
          <w:tab/>
        </w:r>
        <w:r w:rsidRPr="007E5A4D">
          <w:rPr>
            <w:rStyle w:val="Hypertextovodkaz"/>
            <w:noProof/>
          </w:rPr>
          <w:t>Hydrotechnické výpočty</w:t>
        </w:r>
        <w:r>
          <w:rPr>
            <w:noProof/>
            <w:webHidden/>
          </w:rPr>
          <w:tab/>
        </w:r>
        <w:r>
          <w:rPr>
            <w:noProof/>
            <w:webHidden/>
          </w:rPr>
          <w:fldChar w:fldCharType="begin"/>
        </w:r>
        <w:r>
          <w:rPr>
            <w:noProof/>
            <w:webHidden/>
          </w:rPr>
          <w:instrText xml:space="preserve"> PAGEREF _Toc199415720 \h </w:instrText>
        </w:r>
        <w:r>
          <w:rPr>
            <w:noProof/>
            <w:webHidden/>
          </w:rPr>
        </w:r>
        <w:r>
          <w:rPr>
            <w:noProof/>
            <w:webHidden/>
          </w:rPr>
          <w:fldChar w:fldCharType="separate"/>
        </w:r>
        <w:r>
          <w:rPr>
            <w:noProof/>
            <w:webHidden/>
          </w:rPr>
          <w:t>- 8 -</w:t>
        </w:r>
        <w:r>
          <w:rPr>
            <w:noProof/>
            <w:webHidden/>
          </w:rPr>
          <w:fldChar w:fldCharType="end"/>
        </w:r>
      </w:hyperlink>
    </w:p>
    <w:p w14:paraId="71C2C50C" w14:textId="7A1D092C" w:rsidR="0007706A" w:rsidRDefault="0007706A">
      <w:pPr>
        <w:pStyle w:val="Obsah2"/>
        <w:tabs>
          <w:tab w:val="left" w:pos="1702"/>
        </w:tabs>
        <w:rPr>
          <w:rFonts w:asciiTheme="minorHAnsi" w:eastAsiaTheme="minorEastAsia" w:hAnsiTheme="minorHAnsi" w:cstheme="minorBidi"/>
          <w:noProof/>
          <w:kern w:val="2"/>
          <w14:ligatures w14:val="standardContextual"/>
        </w:rPr>
      </w:pPr>
      <w:hyperlink w:anchor="_Toc199415721" w:history="1">
        <w:r w:rsidRPr="007E5A4D">
          <w:rPr>
            <w:rStyle w:val="Hypertextovodkaz"/>
            <w:noProof/>
          </w:rPr>
          <w:t>4.1</w:t>
        </w:r>
        <w:r>
          <w:rPr>
            <w:rFonts w:asciiTheme="minorHAnsi" w:eastAsiaTheme="minorEastAsia" w:hAnsiTheme="minorHAnsi" w:cstheme="minorBidi"/>
            <w:noProof/>
            <w:kern w:val="2"/>
            <w14:ligatures w14:val="standardContextual"/>
          </w:rPr>
          <w:tab/>
        </w:r>
        <w:r w:rsidRPr="007E5A4D">
          <w:rPr>
            <w:rStyle w:val="Hypertextovodkaz"/>
            <w:noProof/>
          </w:rPr>
          <w:t>Produkce dešťových vod a výpočet návrhového průtoku:</w:t>
        </w:r>
        <w:r>
          <w:rPr>
            <w:noProof/>
            <w:webHidden/>
          </w:rPr>
          <w:tab/>
        </w:r>
        <w:r>
          <w:rPr>
            <w:noProof/>
            <w:webHidden/>
          </w:rPr>
          <w:fldChar w:fldCharType="begin"/>
        </w:r>
        <w:r>
          <w:rPr>
            <w:noProof/>
            <w:webHidden/>
          </w:rPr>
          <w:instrText xml:space="preserve"> PAGEREF _Toc199415721 \h </w:instrText>
        </w:r>
        <w:r>
          <w:rPr>
            <w:noProof/>
            <w:webHidden/>
          </w:rPr>
        </w:r>
        <w:r>
          <w:rPr>
            <w:noProof/>
            <w:webHidden/>
          </w:rPr>
          <w:fldChar w:fldCharType="separate"/>
        </w:r>
        <w:r>
          <w:rPr>
            <w:noProof/>
            <w:webHidden/>
          </w:rPr>
          <w:t>- 8 -</w:t>
        </w:r>
        <w:r>
          <w:rPr>
            <w:noProof/>
            <w:webHidden/>
          </w:rPr>
          <w:fldChar w:fldCharType="end"/>
        </w:r>
      </w:hyperlink>
    </w:p>
    <w:p w14:paraId="580E62BB" w14:textId="603EF740" w:rsidR="0007706A" w:rsidRDefault="0007706A">
      <w:pPr>
        <w:pStyle w:val="Obsah2"/>
        <w:tabs>
          <w:tab w:val="left" w:pos="1702"/>
        </w:tabs>
        <w:rPr>
          <w:rFonts w:asciiTheme="minorHAnsi" w:eastAsiaTheme="minorEastAsia" w:hAnsiTheme="minorHAnsi" w:cstheme="minorBidi"/>
          <w:noProof/>
          <w:kern w:val="2"/>
          <w14:ligatures w14:val="standardContextual"/>
        </w:rPr>
      </w:pPr>
      <w:hyperlink w:anchor="_Toc199415722" w:history="1">
        <w:r w:rsidRPr="007E5A4D">
          <w:rPr>
            <w:rStyle w:val="Hypertextovodkaz"/>
            <w:noProof/>
          </w:rPr>
          <w:t>4.2</w:t>
        </w:r>
        <w:r>
          <w:rPr>
            <w:rFonts w:asciiTheme="minorHAnsi" w:eastAsiaTheme="minorEastAsia" w:hAnsiTheme="minorHAnsi" w:cstheme="minorBidi"/>
            <w:noProof/>
            <w:kern w:val="2"/>
            <w14:ligatures w14:val="standardContextual"/>
          </w:rPr>
          <w:tab/>
        </w:r>
        <w:r w:rsidRPr="007E5A4D">
          <w:rPr>
            <w:rStyle w:val="Hypertextovodkaz"/>
            <w:noProof/>
          </w:rPr>
          <w:t>Posouzení kapacity kanalizačního potrubí:</w:t>
        </w:r>
        <w:r>
          <w:rPr>
            <w:noProof/>
            <w:webHidden/>
          </w:rPr>
          <w:tab/>
        </w:r>
        <w:r>
          <w:rPr>
            <w:noProof/>
            <w:webHidden/>
          </w:rPr>
          <w:fldChar w:fldCharType="begin"/>
        </w:r>
        <w:r>
          <w:rPr>
            <w:noProof/>
            <w:webHidden/>
          </w:rPr>
          <w:instrText xml:space="preserve"> PAGEREF _Toc199415722 \h </w:instrText>
        </w:r>
        <w:r>
          <w:rPr>
            <w:noProof/>
            <w:webHidden/>
          </w:rPr>
        </w:r>
        <w:r>
          <w:rPr>
            <w:noProof/>
            <w:webHidden/>
          </w:rPr>
          <w:fldChar w:fldCharType="separate"/>
        </w:r>
        <w:r>
          <w:rPr>
            <w:noProof/>
            <w:webHidden/>
          </w:rPr>
          <w:t>- 9 -</w:t>
        </w:r>
        <w:r>
          <w:rPr>
            <w:noProof/>
            <w:webHidden/>
          </w:rPr>
          <w:fldChar w:fldCharType="end"/>
        </w:r>
      </w:hyperlink>
    </w:p>
    <w:p w14:paraId="6CF2588E" w14:textId="3AEE8610" w:rsidR="00980A58" w:rsidRPr="00E9068D" w:rsidRDefault="00C1491B" w:rsidP="00980A58">
      <w:pPr>
        <w:pStyle w:val="Obsah2"/>
        <w:tabs>
          <w:tab w:val="left" w:pos="1701"/>
        </w:tabs>
        <w:rPr>
          <w:bCs/>
          <w:caps/>
          <w:u w:val="single"/>
        </w:rPr>
      </w:pPr>
      <w:r w:rsidRPr="00E9068D">
        <w:rPr>
          <w:bCs/>
          <w:caps/>
          <w:u w:val="single"/>
        </w:rPr>
        <w:fldChar w:fldCharType="end"/>
      </w:r>
    </w:p>
    <w:p w14:paraId="283C202C" w14:textId="77777777" w:rsidR="00745B65" w:rsidRPr="00980A58" w:rsidRDefault="00980A58" w:rsidP="00DD700D">
      <w:pPr>
        <w:pStyle w:val="Nadpis1"/>
      </w:pPr>
      <w:r w:rsidRPr="00E9068D">
        <w:br w:type="page"/>
      </w:r>
      <w:r w:rsidR="007631EF" w:rsidRPr="00980A58">
        <w:lastRenderedPageBreak/>
        <w:t xml:space="preserve"> </w:t>
      </w:r>
      <w:bookmarkStart w:id="1" w:name="_Hlk159241414"/>
      <w:bookmarkStart w:id="2" w:name="_Toc199415708"/>
      <w:bookmarkEnd w:id="0"/>
      <w:r w:rsidR="00C1491B" w:rsidRPr="00980A58">
        <w:t>Stavební řešení</w:t>
      </w:r>
      <w:bookmarkEnd w:id="2"/>
      <w:r w:rsidR="00B27C76" w:rsidRPr="00980A58">
        <w:t xml:space="preserve"> </w:t>
      </w:r>
    </w:p>
    <w:bookmarkEnd w:id="1"/>
    <w:p w14:paraId="25AAF0B5" w14:textId="77777777" w:rsidR="00E71CAC" w:rsidRPr="00F27047" w:rsidRDefault="007631EF" w:rsidP="00E71CAC">
      <w:pPr>
        <w:rPr>
          <w:rFonts w:cs="Arial"/>
        </w:rPr>
      </w:pPr>
      <w:r w:rsidRPr="00C66D57">
        <w:rPr>
          <w:rFonts w:cs="Arial"/>
        </w:rPr>
        <w:t>V rámci akce je navržena rekonstrukce stávající jednotné kanalizace na oddílnou kanalizaci. V současnosti ovšem nelze zajistit úplné oddělení veškerých dešťových vod z </w:t>
      </w:r>
      <w:r w:rsidRPr="00F27047">
        <w:rPr>
          <w:rFonts w:cs="Arial"/>
        </w:rPr>
        <w:t>napojených nemovitostí, proto je v rámci akce navržena nová dešťová stoka a nová jednotná stoka.</w:t>
      </w:r>
    </w:p>
    <w:p w14:paraId="29E1167D" w14:textId="77777777" w:rsidR="00F27047" w:rsidRPr="00F27047" w:rsidRDefault="00F27047" w:rsidP="00F27047">
      <w:r w:rsidRPr="00F27047">
        <w:t xml:space="preserve">Zemní práce budou provedeny běžnou výkopovou technologií z povrchu za použití běžných zemních mechanizmů. </w:t>
      </w:r>
    </w:p>
    <w:p w14:paraId="3B287EDF" w14:textId="77777777" w:rsidR="00F27047" w:rsidRPr="00F27047" w:rsidRDefault="00F27047" w:rsidP="00F27047">
      <w:r w:rsidRPr="00F27047">
        <w:t xml:space="preserve">Na celém úseku rekonstruované jednotné stoky včetně přípojek jednotné kanalizace se dále nachází křížení a souběhy s podzemním vedením vodovodu, plynovodu STL a NTL, sdělovacích a silových kabelů. Z tohoto důvodu je zde vyvolaný požadavek na ruční práce při hloubení rýhy. V místech těchto křížení je nutné provádět výkop ručně, aby nedošlo k poškození výše uvedených sítí. Poloha podzemních sítí bude před odkopem celé rýhy ověřena ručně kopanými sondami. Po nasondování sítí bude na stavbě prověřeno dodržení prostorové normy z hlediska minimálních vzdáleností při souběhu a křížení a poloha kanalizace s přípojkami případně upravena tak, aby tato norma byla dodržena. </w:t>
      </w:r>
    </w:p>
    <w:p w14:paraId="1B97F31A" w14:textId="77777777" w:rsidR="00F27047" w:rsidRPr="00F27047" w:rsidRDefault="00F27047" w:rsidP="00F27047">
      <w:r w:rsidRPr="00F27047">
        <w:t xml:space="preserve">Stavební práce při rekonstrukci jednotné kanalizace budou probíhat výhradně na pozemcích určených ke stavbě stoky. Přístup na staveniště je fyzicky zajištěn. Přístupy k jednotlivým nemovitostem budou řešeny položením ocelové pojízdné desky přes rýhu v případě přejezdu přes komunikaci, v případě přechodů pak pomocí ocelových pochůzných desek s oboustranným zábradlím a pochůzných lávek. Řešení jednotlivých přechodů přes výkop bude řešeno přímo na stavbě po dohodě majitelů nemovitostí s dodavatelem stavby. Přístup na staveniště je fyzicky zajištěn a vyznačen v „situaci ZOV“. Staveniště bude řádně ohraničeno páskou a zajištěno proti vstupu nepovolaným osobám a dále bude zabezpečeno proti úrazu a pádu osob do výkopu dočasným oplocením z rozebíratelných plotových dílců. </w:t>
      </w:r>
    </w:p>
    <w:p w14:paraId="2F55E7DD" w14:textId="77777777" w:rsidR="00F27047" w:rsidRPr="00F27047" w:rsidRDefault="00F27047" w:rsidP="00F27047">
      <w:r w:rsidRPr="00F27047">
        <w:t xml:space="preserve">Předpokládá se dočasná uzavírka celé komunikace v ulici Kosmákova a přilehlé části Masarykova náměstí, přičemž výstavba se předpokládá ve třech fázích, které jsou podrobně popsány v kapitole </w:t>
      </w:r>
      <w:r w:rsidRPr="00F27047">
        <w:rPr>
          <w:i/>
          <w:iCs/>
        </w:rPr>
        <w:t>B.8.o) postup výstavby, rozhodující dílčí termíny</w:t>
      </w:r>
      <w:r w:rsidRPr="00F27047">
        <w:t xml:space="preserve">) Souhrnné technické zprávy. Umožněn bude vjezd pouze vozidlům s povolením stavby, případně vozidlům integrovaného záchranného sboru nebo v jiných výjimečných případech po dohodě přímo na stavbě s pracovníky dodavatele. Pro tyto případy bude na staveništi zajištěno dostatečné množství ocelových pojízdných desek, kterými bude možné operativně zakrýt výkop a zajistit tak průjezd. </w:t>
      </w:r>
    </w:p>
    <w:p w14:paraId="0DACE4B3" w14:textId="77777777" w:rsidR="00F27047" w:rsidRPr="00F27047" w:rsidRDefault="00F27047" w:rsidP="00F27047">
      <w:r w:rsidRPr="00F27047">
        <w:t>Před zahájením stavebních prací je nutno vymezit staveniště a dohodnout s investorem umístění zařízení staveniště, stejně jako místo pro dočasnou skládku materiálu. Následně se zajistí vytyčení jednotlivých prvků stavby – vrcholové body jednotné kanalizace, polohu odboček pro přípojky. Dále je nutné vytyčit polohu všech podzemních vedení v dané lokalitě.</w:t>
      </w:r>
    </w:p>
    <w:p w14:paraId="3CCE7195" w14:textId="77777777" w:rsidR="00F27047" w:rsidRDefault="00F27047" w:rsidP="00E71CAC">
      <w:r w:rsidRPr="00F27047">
        <w:t>Jednotná kanalizace bude provedena v rámci požadavků technických standardů provozovatele – Služby města Jihlavy s. r. o. – vodovody a kanalizace, zápisů z výrobních výborů a dále dle podmínek uvedených v závazných stanoviscích dotčených orgánů státní správy.</w:t>
      </w:r>
    </w:p>
    <w:p w14:paraId="56E830B4" w14:textId="77777777" w:rsidR="00254B31" w:rsidRPr="00C66D57" w:rsidRDefault="00254B31" w:rsidP="00E71CAC">
      <w:pPr>
        <w:rPr>
          <w:rFonts w:cs="Arial"/>
        </w:rPr>
      </w:pPr>
      <w:r w:rsidRPr="00E2715B">
        <w:rPr>
          <w:rFonts w:cs="Arial"/>
        </w:rPr>
        <w:lastRenderedPageBreak/>
        <w:t>Stavba se nachází v historickém centru města Jihlava protkaném sítí podzemních chodeb. Zemní práce v blízkosti podzemních chodeb budou prováděny se zvýšenou opatrností, ve vzdálenosti do 1,5 m budou prováděny výhradně ručně. Zvýšenou opatrnost při provádění stavebních prací je nutné věnovat místům křížení zejména jednotných stok, které mnohdy nadcházejí stropy podzemních chodeb v bezprostřední blízkosti.</w:t>
      </w:r>
    </w:p>
    <w:p w14:paraId="24A13F7C" w14:textId="77777777" w:rsidR="00226859" w:rsidRDefault="00226859" w:rsidP="00133712">
      <w:pPr>
        <w:pStyle w:val="Nadpis2"/>
      </w:pPr>
      <w:bookmarkStart w:id="3" w:name="_Toc199415709"/>
      <w:r w:rsidRPr="00134EA9">
        <w:t xml:space="preserve">Stoky </w:t>
      </w:r>
      <w:r>
        <w:t>jednotné</w:t>
      </w:r>
      <w:r w:rsidRPr="00134EA9">
        <w:t xml:space="preserve"> kanalizace</w:t>
      </w:r>
      <w:bookmarkEnd w:id="3"/>
    </w:p>
    <w:p w14:paraId="590D4692" w14:textId="77777777" w:rsidR="00F27047" w:rsidRPr="00F27047" w:rsidRDefault="00F27047" w:rsidP="00F27047">
      <w:pPr>
        <w:pStyle w:val="Nadpis3"/>
      </w:pPr>
      <w:bookmarkStart w:id="4" w:name="_Hlk147394138"/>
      <w:bookmarkStart w:id="5" w:name="_Toc199415710"/>
      <w:r>
        <w:t>Popis stok jednotné kanalizace</w:t>
      </w:r>
      <w:bookmarkEnd w:id="5"/>
    </w:p>
    <w:bookmarkStart w:id="6" w:name="_Hlk143690210"/>
    <w:bookmarkEnd w:id="4"/>
    <w:bookmarkStart w:id="7" w:name="_MON_1719294007"/>
    <w:bookmarkEnd w:id="7"/>
    <w:p w14:paraId="6D5936AA" w14:textId="77777777" w:rsidR="00EA5C60" w:rsidRDefault="00E9068D" w:rsidP="00DB4A6D">
      <w:pPr>
        <w:ind w:firstLine="0"/>
        <w:rPr>
          <w:b/>
          <w:bCs/>
        </w:rPr>
      </w:pPr>
      <w:r w:rsidRPr="0045054C">
        <w:rPr>
          <w:color w:val="FF0000"/>
        </w:rPr>
        <w:object w:dxaOrig="10791" w:dyaOrig="7826" w14:anchorId="28974E1F">
          <v:shape id="_x0000_i1026" type="#_x0000_t75" style="width:438.55pt;height:348.8pt" o:ole="">
            <v:imagedata r:id="rId8" o:title=""/>
            <o:lock v:ext="edit" aspectratio="f"/>
          </v:shape>
          <o:OLEObject Type="Embed" ProgID="Excel.Sheet.12" ShapeID="_x0000_i1026" DrawAspect="Content" ObjectID="_1810028648" r:id="rId9"/>
        </w:object>
      </w:r>
      <w:bookmarkEnd w:id="6"/>
    </w:p>
    <w:p w14:paraId="1292F99E" w14:textId="77777777" w:rsidR="00CD26EA" w:rsidRDefault="00237AA2" w:rsidP="00134EA9">
      <w:pPr>
        <w:ind w:firstLine="709"/>
        <w:rPr>
          <w:rFonts w:cs="Arial"/>
        </w:rPr>
      </w:pPr>
      <w:bookmarkStart w:id="8" w:name="_Hlk143690310"/>
      <w:r>
        <w:rPr>
          <w:rFonts w:cs="Arial"/>
        </w:rPr>
        <w:t>V rámci tohoto stavebního objektu je navržena nová jednotn</w:t>
      </w:r>
      <w:r w:rsidR="007631EF">
        <w:rPr>
          <w:rFonts w:cs="Arial"/>
        </w:rPr>
        <w:t>á</w:t>
      </w:r>
      <w:r>
        <w:rPr>
          <w:rFonts w:cs="Arial"/>
        </w:rPr>
        <w:t xml:space="preserve"> </w:t>
      </w:r>
      <w:r w:rsidR="00624E6F">
        <w:rPr>
          <w:rFonts w:cs="Arial"/>
        </w:rPr>
        <w:t>stok</w:t>
      </w:r>
      <w:r>
        <w:rPr>
          <w:rFonts w:cs="Arial"/>
        </w:rPr>
        <w:t>a</w:t>
      </w:r>
      <w:r w:rsidR="00CD26EA">
        <w:rPr>
          <w:rFonts w:cs="Arial"/>
        </w:rPr>
        <w:t xml:space="preserve"> A</w:t>
      </w:r>
      <w:r>
        <w:rPr>
          <w:rFonts w:cs="Arial"/>
        </w:rPr>
        <w:t xml:space="preserve"> vedená</w:t>
      </w:r>
      <w:r w:rsidR="00952451">
        <w:rPr>
          <w:rFonts w:cs="Arial"/>
        </w:rPr>
        <w:t xml:space="preserve"> přibližně</w:t>
      </w:r>
      <w:r w:rsidR="00CD26EA">
        <w:rPr>
          <w:rFonts w:cs="Arial"/>
        </w:rPr>
        <w:t xml:space="preserve"> </w:t>
      </w:r>
      <w:r w:rsidR="00707321">
        <w:rPr>
          <w:rFonts w:cs="Arial"/>
        </w:rPr>
        <w:t xml:space="preserve">kopírující stávající </w:t>
      </w:r>
      <w:r w:rsidR="00CD26EA">
        <w:rPr>
          <w:rFonts w:cs="Arial"/>
        </w:rPr>
        <w:t>tras</w:t>
      </w:r>
      <w:r w:rsidR="00707321">
        <w:rPr>
          <w:rFonts w:cs="Arial"/>
        </w:rPr>
        <w:t>u</w:t>
      </w:r>
      <w:r w:rsidR="00952451">
        <w:rPr>
          <w:rFonts w:cs="Arial"/>
        </w:rPr>
        <w:t xml:space="preserve"> kanalizace</w:t>
      </w:r>
      <w:r w:rsidR="00AF0E53">
        <w:rPr>
          <w:rFonts w:cs="Arial"/>
        </w:rPr>
        <w:t>. Připojení stávajících stok ze sousedních ulic</w:t>
      </w:r>
      <w:r w:rsidR="00CD26EA">
        <w:rPr>
          <w:rFonts w:cs="Arial"/>
        </w:rPr>
        <w:t xml:space="preserve"> </w:t>
      </w:r>
      <w:r w:rsidR="00AF0E53">
        <w:rPr>
          <w:rFonts w:cs="Arial"/>
        </w:rPr>
        <w:t>je řešeno krátkými bočními stokami</w:t>
      </w:r>
      <w:r w:rsidR="00D20FC9">
        <w:rPr>
          <w:rFonts w:cs="Arial"/>
        </w:rPr>
        <w:t xml:space="preserve"> A-1 a A-2.</w:t>
      </w:r>
      <w:r w:rsidR="00F54E07">
        <w:rPr>
          <w:rFonts w:cs="Arial"/>
        </w:rPr>
        <w:t xml:space="preserve"> Součástí návrhu je výměna krátkého úseku potrubí směrem do ulice Havířské ve stávající trase. </w:t>
      </w:r>
    </w:p>
    <w:p w14:paraId="2B7EDE91" w14:textId="77777777" w:rsidR="00040133" w:rsidRDefault="002B3E17" w:rsidP="00134EA9">
      <w:pPr>
        <w:ind w:firstLine="709"/>
        <w:rPr>
          <w:rFonts w:cs="Arial"/>
        </w:rPr>
      </w:pPr>
      <w:r w:rsidRPr="002B3E17">
        <w:rPr>
          <w:rFonts w:cs="Arial"/>
        </w:rPr>
        <w:t>Stoka A slouží k odkanalizování splaškových vod v celé ulici Kosmákova, dešťových vod z vnitrobloků napojených nemovitostí a dále i pro odkanalizování příslušného povodí západní části historického centra města Jihlavy.</w:t>
      </w:r>
    </w:p>
    <w:p w14:paraId="3D2D350C" w14:textId="77777777" w:rsidR="00F27047" w:rsidRPr="00134EA9" w:rsidRDefault="00F27047" w:rsidP="00F27047">
      <w:pPr>
        <w:pStyle w:val="Nadpis3"/>
      </w:pPr>
      <w:bookmarkStart w:id="9" w:name="_Toc199415711"/>
      <w:r>
        <w:t xml:space="preserve">Společné </w:t>
      </w:r>
      <w:r>
        <w:rPr>
          <w:lang w:val="cs-CZ"/>
        </w:rPr>
        <w:t>zásady technického řešení rekonstrukce kanalizace</w:t>
      </w:r>
      <w:bookmarkEnd w:id="9"/>
    </w:p>
    <w:p w14:paraId="0A58D512" w14:textId="77777777" w:rsidR="00C23A1B" w:rsidRDefault="00D20FC9" w:rsidP="00C23A1B">
      <w:pPr>
        <w:ind w:firstLine="709"/>
        <w:rPr>
          <w:rFonts w:cs="Arial"/>
        </w:rPr>
      </w:pPr>
      <w:bookmarkStart w:id="10" w:name="_Hlk163724067"/>
      <w:r>
        <w:rPr>
          <w:rFonts w:cs="Arial"/>
        </w:rPr>
        <w:t xml:space="preserve">Jednotná </w:t>
      </w:r>
      <w:r w:rsidR="00040133" w:rsidRPr="00134EA9">
        <w:rPr>
          <w:rFonts w:cs="Arial"/>
        </w:rPr>
        <w:t>kanalizace je navržena z</w:t>
      </w:r>
      <w:r w:rsidR="007D40CE">
        <w:rPr>
          <w:rFonts w:cs="Arial"/>
        </w:rPr>
        <w:t xml:space="preserve"> </w:t>
      </w:r>
      <w:r>
        <w:rPr>
          <w:rFonts w:cs="Arial"/>
        </w:rPr>
        <w:t>kameniny</w:t>
      </w:r>
      <w:r w:rsidR="00040133" w:rsidRPr="00134EA9">
        <w:rPr>
          <w:rFonts w:cs="Arial"/>
        </w:rPr>
        <w:t xml:space="preserve">, v dimenzi </w:t>
      </w:r>
      <w:r w:rsidR="00040133" w:rsidRPr="00C151DB">
        <w:rPr>
          <w:rFonts w:cs="Arial"/>
        </w:rPr>
        <w:t xml:space="preserve">DN </w:t>
      </w:r>
      <w:r w:rsidR="00952451">
        <w:rPr>
          <w:rFonts w:cs="Arial"/>
        </w:rPr>
        <w:t>300,</w:t>
      </w:r>
      <w:r w:rsidR="00DC45AD">
        <w:rPr>
          <w:rFonts w:cs="Arial"/>
        </w:rPr>
        <w:t xml:space="preserve"> </w:t>
      </w:r>
      <w:r>
        <w:rPr>
          <w:rFonts w:cs="Arial"/>
        </w:rPr>
        <w:t>DN</w:t>
      </w:r>
      <w:r w:rsidR="00952451">
        <w:rPr>
          <w:rFonts w:cs="Arial"/>
        </w:rPr>
        <w:t>4</w:t>
      </w:r>
      <w:r>
        <w:rPr>
          <w:rFonts w:cs="Arial"/>
        </w:rPr>
        <w:t>00</w:t>
      </w:r>
      <w:r w:rsidR="00952451">
        <w:rPr>
          <w:rFonts w:cs="Arial"/>
        </w:rPr>
        <w:t>, DN500</w:t>
      </w:r>
      <w:r w:rsidR="00DC45AD">
        <w:rPr>
          <w:rFonts w:cs="Arial"/>
        </w:rPr>
        <w:t xml:space="preserve"> a DN</w:t>
      </w:r>
      <w:r w:rsidR="00952451">
        <w:rPr>
          <w:rFonts w:cs="Arial"/>
        </w:rPr>
        <w:t>6</w:t>
      </w:r>
      <w:r w:rsidR="00DC45AD">
        <w:rPr>
          <w:rFonts w:cs="Arial"/>
        </w:rPr>
        <w:t>00</w:t>
      </w:r>
      <w:r w:rsidR="0058081E" w:rsidRPr="0058081E">
        <w:t xml:space="preserve"> </w:t>
      </w:r>
      <w:r w:rsidR="0058081E">
        <w:t xml:space="preserve">spojované hrdlovými spoji, přičemž polyuretanovým těsněním bude osazeno na </w:t>
      </w:r>
      <w:r w:rsidR="0058081E">
        <w:lastRenderedPageBreak/>
        <w:t>zasouvaném dříku trub</w:t>
      </w:r>
      <w:r>
        <w:t xml:space="preserve">. </w:t>
      </w:r>
      <w:r w:rsidR="00C23A1B" w:rsidRPr="00C151DB">
        <w:rPr>
          <w:rFonts w:cs="Arial"/>
        </w:rPr>
        <w:t xml:space="preserve">Odbočkové kusy, na které budou vysazovány přípojky, budou provedeny ze stejného materiálu jako je hlavní stoka, tedy </w:t>
      </w:r>
      <w:r w:rsidR="00C23A1B">
        <w:rPr>
          <w:rFonts w:cs="Arial"/>
        </w:rPr>
        <w:t>kamenina</w:t>
      </w:r>
      <w:r w:rsidR="00C23A1B" w:rsidRPr="00C151DB">
        <w:rPr>
          <w:rFonts w:cs="Arial"/>
        </w:rPr>
        <w:t xml:space="preserve"> </w:t>
      </w:r>
      <w:r w:rsidR="00952451">
        <w:rPr>
          <w:rFonts w:cs="Arial"/>
        </w:rPr>
        <w:t>4</w:t>
      </w:r>
      <w:r w:rsidR="00C23A1B">
        <w:rPr>
          <w:rFonts w:cs="Arial"/>
        </w:rPr>
        <w:t>00</w:t>
      </w:r>
      <w:r w:rsidR="00C23A1B" w:rsidRPr="00C151DB">
        <w:rPr>
          <w:rFonts w:cs="Arial"/>
        </w:rPr>
        <w:t>/</w:t>
      </w:r>
      <w:r w:rsidR="00C23A1B">
        <w:rPr>
          <w:rFonts w:cs="Arial"/>
        </w:rPr>
        <w:t>15</w:t>
      </w:r>
      <w:r w:rsidR="00C23A1B" w:rsidRPr="00C151DB">
        <w:rPr>
          <w:rFonts w:cs="Arial"/>
        </w:rPr>
        <w:t>0/</w:t>
      </w:r>
      <w:r w:rsidR="00E5450D">
        <w:rPr>
          <w:rFonts w:cs="Arial"/>
        </w:rPr>
        <w:t>90</w:t>
      </w:r>
      <w:r w:rsidR="00C23A1B">
        <w:rPr>
          <w:rFonts w:cs="Arial"/>
        </w:rPr>
        <w:t xml:space="preserve"> (</w:t>
      </w:r>
      <w:r w:rsidR="00952451">
        <w:rPr>
          <w:rFonts w:cs="Arial"/>
        </w:rPr>
        <w:t>6</w:t>
      </w:r>
      <w:r w:rsidR="00C23A1B">
        <w:rPr>
          <w:rFonts w:cs="Arial"/>
        </w:rPr>
        <w:t>00/</w:t>
      </w:r>
      <w:r w:rsidR="00952451">
        <w:rPr>
          <w:rFonts w:cs="Arial"/>
        </w:rPr>
        <w:t>1</w:t>
      </w:r>
      <w:r w:rsidR="00C23A1B">
        <w:rPr>
          <w:rFonts w:cs="Arial"/>
        </w:rPr>
        <w:t>50/</w:t>
      </w:r>
      <w:r w:rsidR="00E5450D">
        <w:rPr>
          <w:rFonts w:cs="Arial"/>
        </w:rPr>
        <w:t>90</w:t>
      </w:r>
      <w:r w:rsidR="00952451">
        <w:rPr>
          <w:rFonts w:cs="Arial"/>
        </w:rPr>
        <w:t>)</w:t>
      </w:r>
      <w:r w:rsidR="00C23A1B" w:rsidRPr="00C151DB">
        <w:rPr>
          <w:rFonts w:cs="Arial"/>
        </w:rPr>
        <w:t>.</w:t>
      </w:r>
      <w:r w:rsidR="00C23A1B">
        <w:rPr>
          <w:rFonts w:cs="Arial"/>
        </w:rPr>
        <w:t xml:space="preserve"> </w:t>
      </w:r>
    </w:p>
    <w:bookmarkEnd w:id="10"/>
    <w:p w14:paraId="0CF2C080" w14:textId="77777777" w:rsidR="00CA3EAF" w:rsidRDefault="00624E6F" w:rsidP="00CA3EAF">
      <w:pPr>
        <w:ind w:firstLine="709"/>
        <w:rPr>
          <w:rFonts w:cs="Arial"/>
        </w:rPr>
      </w:pPr>
      <w:r>
        <w:t xml:space="preserve">Nově </w:t>
      </w:r>
      <w:r w:rsidRPr="00CA3EAF">
        <w:t>navržená</w:t>
      </w:r>
      <w:r w:rsidR="00CA3EAF" w:rsidRPr="00CA3EAF">
        <w:t xml:space="preserve"> </w:t>
      </w:r>
      <w:r w:rsidR="00CA3EAF" w:rsidRPr="00CA3EAF">
        <w:rPr>
          <w:rFonts w:cs="Arial"/>
        </w:rPr>
        <w:t>jednotná stoka A bude vyústěna do soutoku umístěného nad spadištěm stávající šachty, která zajišťuje napojení stok náměstí na hlouběji uloženou průchozí stoku v ulici Znojemská. Stávající spojná a zároveň spadištní šachta má atypické řešení, které bylo pravděpodobně přizpůsobeno historickému původu podzemních chodeb a stok. Stávající zděná stoka bude zrušena a místo přepojení na nově budovanou stoku bude utěsněno a dozděno. Stávající místo soutoku je velmi těžko dostupné a způsob napojení nové stoky je třeba přizpůsobit skutečnému stavu, který bude možné ověřit až v době provádění stavby. S ohledem na historický původ této části stávající kanalizace, nejsou známy přesné rozměry a skladba její konstrukce. Výkop ve vzdálenosti min. 1,5 m kolem místa napojení bude proveden výhradně ručně. Jakékoliv odchylky vůči stavu předpokládanému touto dokumentací zjištěné na stavbě je třeba dát na vědomí zástupci investora, správě podzemí, správci kanalizace a projektantovi. Veškeré změny a navržené postupy provádění stavby je potřeba přizpůsobit zjištěné skutečnosti tak, aby stavba byla provedena bezpečně a nedošlo k přímému nebo i pozdějšímu poškození stávající nebo i nově navržené kanalizace. Změny oproti projektové dokumentaci je třeba písemně odsouhlasit zápisem výše uvedených správců a projektanta do stavebního deníku.</w:t>
      </w:r>
    </w:p>
    <w:p w14:paraId="57CFA160" w14:textId="090644BD" w:rsidR="00040133" w:rsidRPr="00C00F5D" w:rsidRDefault="00353175" w:rsidP="00040133">
      <w:pPr>
        <w:ind w:firstLine="709"/>
        <w:rPr>
          <w:rFonts w:cs="Arial"/>
        </w:rPr>
      </w:pPr>
      <w:r w:rsidRPr="002540DF">
        <w:t>Na trase jsou navrženy revizní a spojné šachty</w:t>
      </w:r>
      <w:r w:rsidR="00E040D7" w:rsidRPr="002540DF">
        <w:t xml:space="preserve"> DN1000</w:t>
      </w:r>
      <w:r w:rsidRPr="002540DF">
        <w:t>, které budou řešené jako prefabrikované s pryžovým těsněním mezi jednotlivými dílci. Šachty budou sestavěné včetně dna ze stavebnicového programu</w:t>
      </w:r>
      <w:r w:rsidR="00040133" w:rsidRPr="002540DF">
        <w:rPr>
          <w:rFonts w:cs="Arial"/>
        </w:rPr>
        <w:t xml:space="preserve">. </w:t>
      </w:r>
      <w:r w:rsidRPr="002540DF">
        <w:t>Šachtová dna budou vždy opatřena napojovacím hrdlem ze stejného materiálu jako je materiál použitý na stokovou síť, čili z </w:t>
      </w:r>
      <w:r w:rsidR="006E6BC7" w:rsidRPr="002540DF">
        <w:t>kameniny</w:t>
      </w:r>
      <w:r w:rsidRPr="002540DF">
        <w:t>, DN</w:t>
      </w:r>
      <w:r w:rsidR="00D3201F" w:rsidRPr="002540DF">
        <w:t>30</w:t>
      </w:r>
      <w:r w:rsidRPr="002540DF">
        <w:t>0</w:t>
      </w:r>
      <w:r w:rsidR="006E6BC7" w:rsidRPr="002540DF">
        <w:t xml:space="preserve"> (DN</w:t>
      </w:r>
      <w:r w:rsidR="00D3201F" w:rsidRPr="002540DF">
        <w:t>4</w:t>
      </w:r>
      <w:r w:rsidR="006E6BC7" w:rsidRPr="002540DF">
        <w:t>00,</w:t>
      </w:r>
      <w:r w:rsidR="00D3201F" w:rsidRPr="002540DF">
        <w:t xml:space="preserve"> DN500,</w:t>
      </w:r>
      <w:r w:rsidR="006E6BC7" w:rsidRPr="002540DF">
        <w:t xml:space="preserve"> DN</w:t>
      </w:r>
      <w:r w:rsidR="00D3201F" w:rsidRPr="002540DF">
        <w:t>6</w:t>
      </w:r>
      <w:r w:rsidR="006E6BC7" w:rsidRPr="002540DF">
        <w:t>00)</w:t>
      </w:r>
      <w:r w:rsidRPr="002540DF">
        <w:t xml:space="preserve">. Sklon den šachet bude vždy odpovídat navrženému sklonu potrubí jdoucí před šachtou a za šachtou. </w:t>
      </w:r>
      <w:r w:rsidR="0007706A" w:rsidRPr="00E2715B">
        <w:t xml:space="preserve">Žlábek šachtového dna bude proveden na </w:t>
      </w:r>
      <w:r w:rsidR="0007706A">
        <w:t>celou</w:t>
      </w:r>
      <w:r w:rsidR="0007706A" w:rsidRPr="00E2715B">
        <w:t xml:space="preserve"> výšky profilu DN, žlábek bude </w:t>
      </w:r>
      <w:r w:rsidR="0007706A">
        <w:t xml:space="preserve">v dolní polovině </w:t>
      </w:r>
      <w:r w:rsidR="0007706A" w:rsidRPr="00E2715B">
        <w:t>s kameninovou výstelkou</w:t>
      </w:r>
      <w:r w:rsidR="0007706A">
        <w:t xml:space="preserve"> </w:t>
      </w:r>
      <w:bookmarkStart w:id="11" w:name="_Hlk194909740"/>
      <w:r w:rsidR="0007706A">
        <w:t xml:space="preserve">a dozděním horní poloviny </w:t>
      </w:r>
      <w:bookmarkEnd w:id="11"/>
      <w:r w:rsidR="0007706A">
        <w:t>kanalizačními cihlami</w:t>
      </w:r>
      <w:r w:rsidR="0007706A" w:rsidRPr="002540DF">
        <w:t>.</w:t>
      </w:r>
      <w:r w:rsidR="0007706A">
        <w:t xml:space="preserve"> </w:t>
      </w:r>
      <w:r w:rsidRPr="002540DF">
        <w:t>Šachtové dílce byly navrženy s žebříkovými ocelovými a poplastovanými stupadly, přičemž při použití</w:t>
      </w:r>
      <w:r w:rsidRPr="00C00F5D">
        <w:t xml:space="preserve"> kónusového (přechodového) dílce bylo navrženo kapsového stupadla v tomto dílci. Jako poklopy šachet byly navrženy litinové poklopy průměru 600 mm pro zatížení třídy D400 (v komunikaci), poklopy budou dodány včetně rámu, v litino-betonovém provedení BEGU. Poklopy budou dodány včetně rámu, dosedací plocha bude vybavena horizontální tlumící vložkou z PUR. Šachty budou uloženy na podkladní betonovou desku tl. 0,1 m C12/15. Výšky šachet, resp. kóty poklopů jsou navrženy tak, aby korespondovaly s niveletou vozovky</w:t>
      </w:r>
      <w:r w:rsidR="00A05D2F">
        <w:t xml:space="preserve">. </w:t>
      </w:r>
      <w:r w:rsidR="00040133" w:rsidRPr="00C00F5D">
        <w:rPr>
          <w:rFonts w:cs="Arial"/>
        </w:rPr>
        <w:t xml:space="preserve">Celkem je na </w:t>
      </w:r>
      <w:r w:rsidR="00D3201F">
        <w:rPr>
          <w:rFonts w:cs="Arial"/>
        </w:rPr>
        <w:t>jednotné</w:t>
      </w:r>
      <w:r w:rsidR="00040133" w:rsidRPr="00C00F5D">
        <w:rPr>
          <w:rFonts w:cs="Arial"/>
        </w:rPr>
        <w:t xml:space="preserve"> kanalizaci navrženo</w:t>
      </w:r>
      <w:r w:rsidR="00976784" w:rsidRPr="00C00F5D">
        <w:rPr>
          <w:rFonts w:cs="Arial"/>
        </w:rPr>
        <w:t xml:space="preserve"> </w:t>
      </w:r>
      <w:r w:rsidR="001F7CF5">
        <w:rPr>
          <w:rFonts w:cs="Arial"/>
        </w:rPr>
        <w:t>9</w:t>
      </w:r>
      <w:r w:rsidR="00040133" w:rsidRPr="00C00F5D">
        <w:rPr>
          <w:rFonts w:cs="Arial"/>
        </w:rPr>
        <w:t xml:space="preserve"> revizních šachet. </w:t>
      </w:r>
    </w:p>
    <w:p w14:paraId="536EC687" w14:textId="77777777" w:rsidR="00040133" w:rsidRDefault="00040133" w:rsidP="00040133">
      <w:pPr>
        <w:ind w:firstLine="709"/>
        <w:rPr>
          <w:rFonts w:cs="Arial"/>
        </w:rPr>
      </w:pPr>
      <w:r w:rsidRPr="00976784">
        <w:rPr>
          <w:rFonts w:cs="Arial"/>
        </w:rPr>
        <w:t>Stavba bude prováděna po úsecích vymezených revizními šachtami, bude budována odspodu</w:t>
      </w:r>
      <w:r w:rsidRPr="00502B6E">
        <w:rPr>
          <w:rFonts w:cs="Arial"/>
        </w:rPr>
        <w:t xml:space="preserve">. </w:t>
      </w:r>
      <w:bookmarkStart w:id="12" w:name="_Hlk143594620"/>
      <w:r w:rsidRPr="00502B6E">
        <w:rPr>
          <w:rFonts w:cs="Arial"/>
        </w:rPr>
        <w:t xml:space="preserve">Nejdříve bude v rámci stavby </w:t>
      </w:r>
      <w:r w:rsidR="00035465">
        <w:rPr>
          <w:rFonts w:cs="Arial"/>
        </w:rPr>
        <w:t xml:space="preserve">provedeno zařezání a vybourání povrchu komunikace, respektive rozebrání dlažby v chodnících </w:t>
      </w:r>
      <w:r w:rsidR="0081736B">
        <w:rPr>
          <w:rFonts w:cs="Arial"/>
        </w:rPr>
        <w:t>anebo</w:t>
      </w:r>
      <w:r w:rsidR="00035465">
        <w:rPr>
          <w:rFonts w:cs="Arial"/>
        </w:rPr>
        <w:t xml:space="preserve"> sejmutí svrchní humózní vrstvy v pásech zeleně</w:t>
      </w:r>
      <w:r w:rsidRPr="00502B6E">
        <w:rPr>
          <w:rFonts w:cs="Arial"/>
        </w:rPr>
        <w:t xml:space="preserve">. </w:t>
      </w:r>
      <w:bookmarkEnd w:id="12"/>
      <w:r w:rsidRPr="00502B6E">
        <w:rPr>
          <w:rFonts w:cs="Arial"/>
        </w:rPr>
        <w:t xml:space="preserve">Dále bude hloubena rýha pro uložení potrubí ve vytyčené trase. Výkop bude zajištěn příložným pažením. </w:t>
      </w:r>
      <w:r w:rsidR="00C00F5D" w:rsidRPr="00E94FF1">
        <w:t>Kanalizace bude ve vyhloubené rýze ukládána na</w:t>
      </w:r>
      <w:r w:rsidR="00846A6B">
        <w:t xml:space="preserve"> betonové</w:t>
      </w:r>
      <w:r w:rsidR="00C00F5D" w:rsidRPr="00E94FF1">
        <w:t xml:space="preserve"> </w:t>
      </w:r>
      <w:r w:rsidR="00846A6B">
        <w:t>sedlo C12/15</w:t>
      </w:r>
      <w:r w:rsidR="00C00F5D" w:rsidRPr="00E94FF1">
        <w:t xml:space="preserve">, dále bude obsypána do výšky </w:t>
      </w:r>
      <w:bookmarkStart w:id="13" w:name="_Hlk143594705"/>
      <w:r w:rsidR="00C00F5D" w:rsidRPr="00E94FF1">
        <w:t xml:space="preserve">300 mm nad horní hranu potrubí rovněž štěrkopískem </w:t>
      </w:r>
      <w:r w:rsidR="00C00F5D" w:rsidRPr="00155564">
        <w:t>frakce 0-16</w:t>
      </w:r>
      <w:r w:rsidR="00D3201F">
        <w:t xml:space="preserve"> </w:t>
      </w:r>
      <w:r w:rsidR="00C00F5D" w:rsidRPr="00155564">
        <w:t>mm</w:t>
      </w:r>
      <w:r w:rsidR="00C00F5D" w:rsidRPr="00E94FF1">
        <w:t xml:space="preserve"> </w:t>
      </w:r>
      <w:r w:rsidR="00C00F5D" w:rsidRPr="00155564">
        <w:t>(z toho fr</w:t>
      </w:r>
      <w:r w:rsidR="00C00F5D">
        <w:t xml:space="preserve">akce 8-16 bude tvořit max. 10%) </w:t>
      </w:r>
      <w:r w:rsidR="00C00F5D" w:rsidRPr="00E94FF1">
        <w:t>se zhutněním.</w:t>
      </w:r>
      <w:r w:rsidR="00DB4A6D" w:rsidRPr="00502B6E">
        <w:rPr>
          <w:rFonts w:cs="Arial"/>
        </w:rPr>
        <w:t xml:space="preserve"> </w:t>
      </w:r>
      <w:bookmarkStart w:id="14" w:name="_Hlk143594685"/>
      <w:bookmarkEnd w:id="13"/>
      <w:r w:rsidRPr="00502B6E">
        <w:rPr>
          <w:rFonts w:cs="Arial"/>
        </w:rPr>
        <w:t xml:space="preserve">Zbylý zásyp </w:t>
      </w:r>
      <w:r w:rsidR="00502B6E" w:rsidRPr="00502B6E">
        <w:rPr>
          <w:rFonts w:cs="Arial"/>
        </w:rPr>
        <w:t>bude v komunikaci ze štěrkodrtě</w:t>
      </w:r>
      <w:r w:rsidR="00C00F5D">
        <w:rPr>
          <w:rFonts w:cs="Arial"/>
        </w:rPr>
        <w:t xml:space="preserve"> frakce 0-63 mm</w:t>
      </w:r>
      <w:r w:rsidR="00C00F5D" w:rsidRPr="00C00F5D">
        <w:t xml:space="preserve"> </w:t>
      </w:r>
      <w:r w:rsidR="00C00F5D">
        <w:t>se hutněním po vrstvách tl. max 300mm</w:t>
      </w:r>
      <w:bookmarkEnd w:id="14"/>
      <w:r w:rsidR="00DC45AD">
        <w:t xml:space="preserve">. </w:t>
      </w:r>
      <w:bookmarkStart w:id="15" w:name="_Hlk143594662"/>
      <w:r w:rsidRPr="00502B6E">
        <w:rPr>
          <w:rFonts w:cs="Arial"/>
        </w:rPr>
        <w:t>Povrch terénu bude</w:t>
      </w:r>
      <w:r w:rsidR="00035465">
        <w:rPr>
          <w:rFonts w:cs="Arial"/>
        </w:rPr>
        <w:t xml:space="preserve"> po pokládce všech nových sítí (tedy i vodovodu a dešťové kanalizace) </w:t>
      </w:r>
      <w:r w:rsidRPr="00502B6E">
        <w:rPr>
          <w:rFonts w:cs="Arial"/>
        </w:rPr>
        <w:t xml:space="preserve">uveden do nově navrženého stavu </w:t>
      </w:r>
      <w:r w:rsidR="00035465">
        <w:rPr>
          <w:rFonts w:cs="Arial"/>
        </w:rPr>
        <w:t xml:space="preserve">dle </w:t>
      </w:r>
      <w:r w:rsidR="00502B6E" w:rsidRPr="00502B6E">
        <w:rPr>
          <w:rFonts w:cs="Arial"/>
        </w:rPr>
        <w:t>samostatného objektu</w:t>
      </w:r>
      <w:r w:rsidR="00502B6E">
        <w:rPr>
          <w:rFonts w:cs="Arial"/>
        </w:rPr>
        <w:t xml:space="preserve"> této projektové dokumentace</w:t>
      </w:r>
      <w:r w:rsidR="00502B6E" w:rsidRPr="00502B6E">
        <w:rPr>
          <w:rFonts w:cs="Arial"/>
        </w:rPr>
        <w:t xml:space="preserve"> </w:t>
      </w:r>
      <w:r w:rsidR="00846A6B">
        <w:rPr>
          <w:rFonts w:cs="Arial"/>
          <w:i/>
        </w:rPr>
        <w:t>SO 04 Rekonstrukce komunikace</w:t>
      </w:r>
      <w:r w:rsidR="00502B6E" w:rsidRPr="00502B6E">
        <w:rPr>
          <w:rFonts w:cs="Arial"/>
        </w:rPr>
        <w:t>.</w:t>
      </w:r>
      <w:r w:rsidR="00035465">
        <w:rPr>
          <w:rFonts w:cs="Arial"/>
        </w:rPr>
        <w:t xml:space="preserve"> </w:t>
      </w:r>
      <w:r w:rsidR="00035465">
        <w:rPr>
          <w:rFonts w:cs="Arial"/>
        </w:rPr>
        <w:lastRenderedPageBreak/>
        <w:t>Do doby provedení rekonstrukce komunikace bude povrch provizorně dorovnán štěrkodrtí, nebo jiným vhodným materiálem tak, aby byla zajištěna průjezdnost stavební techniky, složek IZS a byl umožněn přístup k okolním nemovitostem.</w:t>
      </w:r>
    </w:p>
    <w:p w14:paraId="5BC2FD09" w14:textId="77777777" w:rsidR="00C00F5D" w:rsidRDefault="00C00F5D" w:rsidP="00C00F5D">
      <w:pPr>
        <w:pStyle w:val="Zkladntext"/>
        <w:ind w:firstLine="540"/>
      </w:pPr>
      <w:bookmarkStart w:id="16" w:name="_Hlk143594734"/>
      <w:bookmarkEnd w:id="8"/>
      <w:bookmarkEnd w:id="15"/>
      <w:r w:rsidRPr="00E94FF1">
        <w:t>Po zhotovení kanalizace bude provedena kamerová prohlídka celé vybudované stoky</w:t>
      </w:r>
      <w:r>
        <w:t>, d</w:t>
      </w:r>
      <w:r w:rsidRPr="00E94FF1">
        <w:t xml:space="preserve">ále proběhne </w:t>
      </w:r>
      <w:r>
        <w:t>tlaková zkouška</w:t>
      </w:r>
      <w:r w:rsidRPr="004A705E">
        <w:t xml:space="preserve"> dle </w:t>
      </w:r>
      <w:r w:rsidRPr="00685EC7">
        <w:t>ČSN 75 6909 Zkoušky vodotěsnosti stok. O</w:t>
      </w:r>
      <w:r w:rsidRPr="004A705E">
        <w:t xml:space="preserve"> zkoušce a prohlídce bude proveden protokol, který bude schválen a odsouhlasen </w:t>
      </w:r>
      <w:r w:rsidRPr="002540DF">
        <w:t xml:space="preserve">investorem a zástupcem </w:t>
      </w:r>
      <w:r w:rsidR="004D0AA9" w:rsidRPr="002540DF">
        <w:rPr>
          <w:lang w:val="cs-CZ"/>
        </w:rPr>
        <w:t>provozovatele</w:t>
      </w:r>
      <w:r w:rsidRPr="002540DF">
        <w:t>. V případě znečištění stoky bude před provedením kamerové zkoušky proveden proplach potrubí. Ke kolaudaci stavby bude doloženo geodetické výškopisné a polohopisné zaměření kanalizace včetně všech objektů a předáno budoucímu provozovateli.</w:t>
      </w:r>
      <w:bookmarkEnd w:id="16"/>
    </w:p>
    <w:p w14:paraId="627233DC" w14:textId="77777777" w:rsidR="00D846E1" w:rsidRDefault="00D846E1" w:rsidP="00D846E1">
      <w:pPr>
        <w:pStyle w:val="Nadpis3"/>
      </w:pPr>
      <w:bookmarkStart w:id="17" w:name="_Toc199415712"/>
      <w:r>
        <w:t>Postup převodu splaškových vod</w:t>
      </w:r>
      <w:bookmarkEnd w:id="17"/>
    </w:p>
    <w:p w14:paraId="523C66D9" w14:textId="77777777" w:rsidR="002E7BE0" w:rsidRPr="00B73BAF" w:rsidRDefault="002E7BE0" w:rsidP="00D846E1">
      <w:pPr>
        <w:ind w:firstLine="709"/>
      </w:pPr>
      <w:r w:rsidRPr="00B73BAF">
        <w:t xml:space="preserve">V době budování </w:t>
      </w:r>
      <w:r w:rsidR="004D77A8" w:rsidRPr="00B73BAF">
        <w:t>rekonstrukce stok</w:t>
      </w:r>
      <w:r w:rsidRPr="00B73BAF">
        <w:t xml:space="preserve"> bude pro každý úsek</w:t>
      </w:r>
      <w:r w:rsidR="004D77A8" w:rsidRPr="00B73BAF">
        <w:t xml:space="preserve"> vymezený revizními šachtami</w:t>
      </w:r>
      <w:r w:rsidRPr="00B73BAF">
        <w:t xml:space="preserve"> zajištěn převod splašků</w:t>
      </w:r>
      <w:r w:rsidR="00D36AB6" w:rsidRPr="00B73BAF">
        <w:t>. Uvádíme jeden z možných způsobů dočasného převádění splaškových vod a to přečerpáváním</w:t>
      </w:r>
      <w:r w:rsidRPr="00B73BAF">
        <w:t xml:space="preserve">. </w:t>
      </w:r>
      <w:r w:rsidR="00D36AB6" w:rsidRPr="00B73BAF">
        <w:t xml:space="preserve">Každý úsek stoky bude rekonstruován včetně dolní šachty a stávající horní šachta bude zachována. </w:t>
      </w:r>
      <w:r w:rsidRPr="00B73BAF">
        <w:t xml:space="preserve">Potrubí </w:t>
      </w:r>
      <w:r w:rsidR="00D36AB6" w:rsidRPr="00B73BAF">
        <w:t>na odtoku ze stávající</w:t>
      </w:r>
      <w:r w:rsidRPr="00B73BAF">
        <w:t xml:space="preserve"> šacht</w:t>
      </w:r>
      <w:r w:rsidR="00D36AB6" w:rsidRPr="00B73BAF">
        <w:t>y</w:t>
      </w:r>
      <w:r w:rsidRPr="00B73BAF">
        <w:t xml:space="preserve"> se </w:t>
      </w:r>
      <w:r w:rsidR="00D36AB6" w:rsidRPr="00B73BAF">
        <w:t>za</w:t>
      </w:r>
      <w:r w:rsidRPr="00B73BAF">
        <w:t xml:space="preserve">řeže a </w:t>
      </w:r>
      <w:proofErr w:type="spellStart"/>
      <w:r w:rsidRPr="00B73BAF">
        <w:t>balonováním</w:t>
      </w:r>
      <w:proofErr w:type="spellEnd"/>
      <w:r w:rsidRPr="00B73BAF">
        <w:t xml:space="preserve"> ucpe</w:t>
      </w:r>
      <w:r w:rsidR="004D77A8" w:rsidRPr="00B73BAF">
        <w:t>,</w:t>
      </w:r>
      <w:r w:rsidR="00D36AB6" w:rsidRPr="00B73BAF">
        <w:t xml:space="preserve"> do této šachty bude umístěno kalové</w:t>
      </w:r>
      <w:r w:rsidRPr="00B73BAF">
        <w:t xml:space="preserve"> </w:t>
      </w:r>
      <w:r w:rsidR="00D36AB6" w:rsidRPr="00B73BAF">
        <w:t>č</w:t>
      </w:r>
      <w:r w:rsidRPr="00B73BAF">
        <w:t>erpadlo</w:t>
      </w:r>
      <w:r w:rsidR="00D36AB6" w:rsidRPr="00B73BAF">
        <w:t xml:space="preserve"> s plovákovým spínačem,</w:t>
      </w:r>
      <w:r w:rsidRPr="00B73BAF">
        <w:t xml:space="preserve"> </w:t>
      </w:r>
      <w:r w:rsidR="00D36AB6" w:rsidRPr="00B73BAF">
        <w:t>které</w:t>
      </w:r>
      <w:r w:rsidRPr="00B73BAF">
        <w:t xml:space="preserve"> se spínat automaticky při dosažení určité hladiny splašků.</w:t>
      </w:r>
      <w:r w:rsidR="004D77A8" w:rsidRPr="00B73BAF">
        <w:t xml:space="preserve"> Spínací hladina musí být nastavena tak, aby nedošlo k nebezpečnému zpětnému vzdutí vody nejen do stoky, ale i do domovních přípojek</w:t>
      </w:r>
      <w:r w:rsidR="00F72F56" w:rsidRPr="00B73BAF">
        <w:t>. Doporučujeme použití výkonného čerpadla s</w:t>
      </w:r>
      <w:r w:rsidR="00B73BAF" w:rsidRPr="00B73BAF">
        <w:t> jmenovitým průtokem minimálně 20l/s při dopravní výšce 20 m.</w:t>
      </w:r>
      <w:r w:rsidRPr="00B73BAF">
        <w:t xml:space="preserve"> Splašky budou odváděny pomocí hadice do již vybudovan</w:t>
      </w:r>
      <w:r w:rsidR="004D77A8" w:rsidRPr="00B73BAF">
        <w:t>ého konce potrubí, respektive do dna dolní šachty po jejím osazení. Po zhotovení úseku bude obdobným způsobem proveden navazující úsek. Předpokládá se výstavba kanalizace od spodu nahoru (proti proudu). Uvedený způsob je třeba přizpůsobit momentálním podmínkám na stavbě, velikosti přítoku, klimatickým podmínkám, organizaci staveništní dopravy kolem výkopu, apod.</w:t>
      </w:r>
    </w:p>
    <w:p w14:paraId="72426A32" w14:textId="77777777" w:rsidR="00D846E1" w:rsidRPr="002E7BE0" w:rsidRDefault="00D846E1" w:rsidP="00D846E1">
      <w:pPr>
        <w:ind w:firstLine="709"/>
      </w:pPr>
      <w:r w:rsidRPr="00B73BAF">
        <w:t>Stoka A-1 bude napojovat stávající stoku KAM DN300 na stoku A. Stávající</w:t>
      </w:r>
      <w:r w:rsidRPr="002E7BE0">
        <w:t xml:space="preserve"> potrubí se ořeže, začistí a napojí do šachty pomocí kameninové trouby DN300. </w:t>
      </w:r>
    </w:p>
    <w:p w14:paraId="78F0F86C" w14:textId="77777777" w:rsidR="00D846E1" w:rsidRDefault="00D846E1" w:rsidP="00D846E1">
      <w:pPr>
        <w:ind w:firstLine="709"/>
      </w:pPr>
      <w:r w:rsidRPr="002E7BE0">
        <w:t>Stoka A-2 bude napojovat stávající stoku ŽB 300 na stoku A. Stávající potrubí se ořeže, začistí a napojí do šachty.</w:t>
      </w:r>
    </w:p>
    <w:p w14:paraId="4F77359A" w14:textId="77777777" w:rsidR="00D846E1" w:rsidRDefault="00D846E1" w:rsidP="00D846E1">
      <w:pPr>
        <w:pStyle w:val="Nadpis3"/>
      </w:pPr>
      <w:bookmarkStart w:id="18" w:name="_Toc199415713"/>
      <w:r>
        <w:t>Zkoušky stok</w:t>
      </w:r>
      <w:bookmarkEnd w:id="18"/>
    </w:p>
    <w:p w14:paraId="2B504437" w14:textId="77777777" w:rsidR="00D846E1" w:rsidRPr="00D846E1" w:rsidRDefault="00D846E1" w:rsidP="00D846E1">
      <w:pPr>
        <w:rPr>
          <w:lang w:val="x-none" w:eastAsia="x-none"/>
        </w:rPr>
      </w:pPr>
      <w:r w:rsidRPr="00D846E1">
        <w:rPr>
          <w:lang w:val="x-none" w:eastAsia="x-none"/>
        </w:rPr>
        <w:t>Po zhotovení kanalizace bude provedena kamerová prohlídka celé vybudované stoky, dále proběhne tlaková zkouška dle ČSN 75 6909 Zkoušky vodotěsnosti stok. O zkoušce a prohlídce bude proveden protokol, který bude schválen a odsouhlasen investorem a zástupcem provozovatele. V případě znečištění stoky bude před provedením kamerové zkoušky proveden proplach potrubí. Ke kolaudaci stavby bude doloženo geodetické výškopisné a polohopisné zaměření kanalizace včetně všech objektů a předáno budoucímu provozovateli.</w:t>
      </w:r>
    </w:p>
    <w:p w14:paraId="4155C1B4" w14:textId="77777777" w:rsidR="00226859" w:rsidRDefault="0010117C" w:rsidP="00FF6EC7">
      <w:pPr>
        <w:pStyle w:val="Nadpis2"/>
      </w:pPr>
      <w:bookmarkStart w:id="19" w:name="_Toc199415714"/>
      <w:r w:rsidRPr="002540DF">
        <w:lastRenderedPageBreak/>
        <w:t>Jednotné</w:t>
      </w:r>
      <w:r w:rsidR="00226859" w:rsidRPr="002540DF">
        <w:t xml:space="preserve"> kanalizační přípojky</w:t>
      </w:r>
      <w:bookmarkEnd w:id="19"/>
    </w:p>
    <w:p w14:paraId="11F4FA6C" w14:textId="77777777" w:rsidR="00D846E1" w:rsidRPr="00D846E1" w:rsidRDefault="00D846E1" w:rsidP="00D846E1">
      <w:pPr>
        <w:pStyle w:val="Nadpis3"/>
        <w:numPr>
          <w:ilvl w:val="2"/>
          <w:numId w:val="37"/>
        </w:numPr>
      </w:pPr>
      <w:bookmarkStart w:id="20" w:name="_Toc199415715"/>
      <w:r>
        <w:t>Popis přípojek jednotné kanalizace</w:t>
      </w:r>
      <w:bookmarkEnd w:id="20"/>
    </w:p>
    <w:bookmarkStart w:id="21" w:name="_Hlk143690336"/>
    <w:bookmarkStart w:id="22" w:name="_MON_1719294298"/>
    <w:bookmarkEnd w:id="22"/>
    <w:p w14:paraId="7E37C783" w14:textId="77777777" w:rsidR="00040133" w:rsidRPr="002540DF" w:rsidRDefault="00651F2A" w:rsidP="00040133">
      <w:pPr>
        <w:ind w:firstLine="0"/>
      </w:pPr>
      <w:r w:rsidRPr="002540DF">
        <w:object w:dxaOrig="10048" w:dyaOrig="4742" w14:anchorId="4F9CB482">
          <v:shape id="_x0000_i1027" type="#_x0000_t75" style="width:427.3pt;height:219.75pt" o:ole="">
            <v:imagedata r:id="rId10" o:title=""/>
            <o:lock v:ext="edit" aspectratio="f"/>
          </v:shape>
          <o:OLEObject Type="Embed" ProgID="Excel.Sheet.12" ShapeID="_x0000_i1027" DrawAspect="Content" ObjectID="_1810028649" r:id="rId11"/>
        </w:object>
      </w:r>
      <w:bookmarkEnd w:id="21"/>
    </w:p>
    <w:p w14:paraId="3CEDFB54" w14:textId="77777777" w:rsidR="005612A2" w:rsidRDefault="005612A2" w:rsidP="00D846E1">
      <w:pPr>
        <w:ind w:firstLine="709"/>
        <w:rPr>
          <w:rFonts w:cs="Arial"/>
        </w:rPr>
      </w:pPr>
      <w:bookmarkStart w:id="23" w:name="_Hlk143690354"/>
      <w:r>
        <w:rPr>
          <w:rFonts w:cs="Arial"/>
        </w:rPr>
        <w:t>V rámci stavby je potřeba ověřit stávající dimenzi vnitřních rozvodů kanalizace v místě napojení na přípojku, stejně jako polohu a počet vývodů z každé napojené nemovitosti. V případě, že budou zjištěny odlišnosti, je třeba přizpůsobit technické řešení skutečnému stavu.</w:t>
      </w:r>
    </w:p>
    <w:p w14:paraId="10CFA068" w14:textId="77777777" w:rsidR="00D846E1" w:rsidRDefault="009D78E1" w:rsidP="00D846E1">
      <w:pPr>
        <w:ind w:firstLine="709"/>
        <w:rPr>
          <w:rFonts w:cs="Arial"/>
        </w:rPr>
      </w:pPr>
      <w:r w:rsidRPr="002540DF">
        <w:rPr>
          <w:rFonts w:cs="Arial"/>
        </w:rPr>
        <w:t>Jednotné</w:t>
      </w:r>
      <w:r w:rsidR="00040133" w:rsidRPr="002540DF">
        <w:rPr>
          <w:rFonts w:cs="Arial"/>
        </w:rPr>
        <w:t xml:space="preserve"> kanalizační přípojky</w:t>
      </w:r>
      <w:r w:rsidR="00651F2A">
        <w:rPr>
          <w:rFonts w:cs="Arial"/>
        </w:rPr>
        <w:t xml:space="preserve"> 1-6</w:t>
      </w:r>
      <w:r w:rsidR="00040133" w:rsidRPr="002540DF">
        <w:rPr>
          <w:rFonts w:cs="Arial"/>
        </w:rPr>
        <w:t xml:space="preserve"> jsou navrženy z</w:t>
      </w:r>
      <w:r w:rsidR="000607BD" w:rsidRPr="002540DF">
        <w:rPr>
          <w:rFonts w:cs="Arial"/>
        </w:rPr>
        <w:t> kameninových trub</w:t>
      </w:r>
      <w:r w:rsidR="00040133" w:rsidRPr="002540DF">
        <w:rPr>
          <w:rFonts w:cs="Arial"/>
        </w:rPr>
        <w:t xml:space="preserve"> v dimenzi DN</w:t>
      </w:r>
      <w:r w:rsidR="000C6A45" w:rsidRPr="002540DF">
        <w:rPr>
          <w:rFonts w:cs="Arial"/>
        </w:rPr>
        <w:t> </w:t>
      </w:r>
      <w:r w:rsidR="00040133" w:rsidRPr="002540DF">
        <w:rPr>
          <w:rFonts w:cs="Arial"/>
        </w:rPr>
        <w:t xml:space="preserve">150. </w:t>
      </w:r>
      <w:r w:rsidR="00651F2A">
        <w:rPr>
          <w:rFonts w:cs="Arial"/>
        </w:rPr>
        <w:t>Jednotné kanalizační přípojky 7 a 8 budou napojeny přechodkou na kameninovou odbočku v dimenzích DN150 a DN200.</w:t>
      </w:r>
    </w:p>
    <w:p w14:paraId="084975EC" w14:textId="77777777" w:rsidR="00D846E1" w:rsidRDefault="00D846E1" w:rsidP="00D846E1">
      <w:pPr>
        <w:pStyle w:val="Nadpis3"/>
      </w:pPr>
      <w:bookmarkStart w:id="24" w:name="_Toc199415716"/>
      <w:r>
        <w:t>Společné zásady technického řešení rekonstrukce kanalizačních přípojek</w:t>
      </w:r>
      <w:bookmarkEnd w:id="24"/>
    </w:p>
    <w:p w14:paraId="053DA4CC" w14:textId="77777777" w:rsidR="00D846E1" w:rsidRPr="00D846E1" w:rsidRDefault="00D846E1" w:rsidP="00D846E1">
      <w:pPr>
        <w:rPr>
          <w:lang w:val="x-none" w:eastAsia="x-none"/>
        </w:rPr>
      </w:pPr>
      <w:r w:rsidRPr="00D846E1">
        <w:rPr>
          <w:lang w:val="x-none" w:eastAsia="x-none"/>
        </w:rPr>
        <w:t>Napojení na stoku A bude provedeno odbočkovými kusy na stokách pomocí výškového a směrového kolena, od kterého bude vedeno přípojkové potrubí až ke stávající zástavbě, kde bude potrubí napojeno na stávající vnitřní rozvody.</w:t>
      </w:r>
    </w:p>
    <w:p w14:paraId="28E7D338" w14:textId="77777777" w:rsidR="00D846E1" w:rsidRPr="00D846E1" w:rsidRDefault="00D846E1" w:rsidP="00D846E1">
      <w:pPr>
        <w:rPr>
          <w:lang w:val="x-none" w:eastAsia="x-none"/>
        </w:rPr>
      </w:pPr>
      <w:r w:rsidRPr="00D846E1">
        <w:rPr>
          <w:lang w:val="x-none" w:eastAsia="x-none"/>
        </w:rPr>
        <w:t>Potrubí přípojek bude pokládáno v pažené rýze dle výkresu vzorového příčného řezu. Dno rýhy bude vyrovnáno štěrkopískovým ložem frakce 0-8 tl. 150 mm. Na štěrkopískové lože se zbuduje betonové sedlo za použití betonu C12/15. Trouba bude  Dále bude provedena vrstva štěrkopískového ochranného obsypu frakce 0-16 mm do výšky min. 300 mm nad horní líc obetonovaného potrubí. Postup pro výkop pokládku a zpětný zásyp rýhy je obdobný jako u hlavní stoky. Zpětný zásyp rýhy mimo komunikaci bude proveden z původní zeminy s ohumusováním a osetím terénu, v komunikaci bude zásyp proveden štěrkodrtí frakce 0-63 mm hutněnou po vrstvách.</w:t>
      </w:r>
    </w:p>
    <w:bookmarkEnd w:id="23"/>
    <w:p w14:paraId="609ECC28" w14:textId="77777777" w:rsidR="00226859" w:rsidRPr="002540DF" w:rsidRDefault="00C00F5D" w:rsidP="00C1510C">
      <w:pPr>
        <w:ind w:firstLine="709"/>
        <w:rPr>
          <w:highlight w:val="yellow"/>
        </w:rPr>
      </w:pPr>
      <w:r w:rsidRPr="002540DF">
        <w:rPr>
          <w:rFonts w:cs="Arial"/>
        </w:rPr>
        <w:t xml:space="preserve">Výkop, zemní práce, obsypy a zásypy rýhy budou prováděny obdobným postupem jako při výstavbě hlavních stok – </w:t>
      </w:r>
      <w:r w:rsidR="001C5591" w:rsidRPr="002540DF">
        <w:rPr>
          <w:rFonts w:cs="Arial"/>
        </w:rPr>
        <w:t>SO 02</w:t>
      </w:r>
      <w:r w:rsidRPr="002540DF">
        <w:rPr>
          <w:rFonts w:cs="Arial"/>
        </w:rPr>
        <w:t>.</w:t>
      </w:r>
    </w:p>
    <w:p w14:paraId="470AF8F1" w14:textId="77777777" w:rsidR="00226859" w:rsidRPr="002540DF" w:rsidRDefault="00226859" w:rsidP="00FF6EC7">
      <w:pPr>
        <w:pStyle w:val="Nadpis2"/>
      </w:pPr>
      <w:bookmarkStart w:id="25" w:name="_Toc121744734"/>
      <w:bookmarkStart w:id="26" w:name="_Toc199415717"/>
      <w:r w:rsidRPr="002540DF">
        <w:lastRenderedPageBreak/>
        <w:t>Bourací a ostatní práce</w:t>
      </w:r>
      <w:bookmarkEnd w:id="25"/>
      <w:bookmarkEnd w:id="26"/>
      <w:r w:rsidRPr="002540DF">
        <w:t xml:space="preserve"> </w:t>
      </w:r>
    </w:p>
    <w:p w14:paraId="0AFD0A4C" w14:textId="77777777" w:rsidR="00226859" w:rsidRPr="002540DF" w:rsidRDefault="00226859" w:rsidP="00226859">
      <w:r w:rsidRPr="002540DF">
        <w:t xml:space="preserve">Staré potrubí a šachty obnažené v rámci výkopu ve stávající trase budou kompletně odstraněny. </w:t>
      </w:r>
    </w:p>
    <w:p w14:paraId="2880C9CC" w14:textId="77777777" w:rsidR="0046524D" w:rsidRPr="002540DF" w:rsidRDefault="0046524D" w:rsidP="00CB659C">
      <w:pPr>
        <w:pStyle w:val="Nadpis1"/>
      </w:pPr>
      <w:bookmarkStart w:id="27" w:name="_Toc434053178"/>
      <w:bookmarkStart w:id="28" w:name="_Toc462147803"/>
      <w:bookmarkStart w:id="29" w:name="_Toc23430067"/>
      <w:bookmarkStart w:id="30" w:name="_Toc23433102"/>
      <w:bookmarkStart w:id="31" w:name="_Toc199415718"/>
      <w:r w:rsidRPr="002540DF">
        <w:t>Pevné měřičské body a vytýčení stavby</w:t>
      </w:r>
      <w:bookmarkEnd w:id="27"/>
      <w:bookmarkEnd w:id="28"/>
      <w:bookmarkEnd w:id="29"/>
      <w:bookmarkEnd w:id="30"/>
      <w:bookmarkEnd w:id="31"/>
    </w:p>
    <w:p w14:paraId="6FCA55D2" w14:textId="77777777" w:rsidR="0046524D" w:rsidRPr="002540DF" w:rsidRDefault="0046524D" w:rsidP="0046524D">
      <w:pPr>
        <w:ind w:firstLine="708"/>
      </w:pPr>
      <w:r w:rsidRPr="002540DF">
        <w:t xml:space="preserve">Pro návrh bylo využito podrobného tachymetrického zaměření lokality. Zaměření účelové mapy bylo provedeno v polohovém systému S-JTSK a výškovém Balt po vyrovnání (BPV). </w:t>
      </w:r>
    </w:p>
    <w:p w14:paraId="404B5AC4" w14:textId="77777777" w:rsidR="0046524D" w:rsidRPr="002540DF" w:rsidRDefault="0046524D" w:rsidP="0046524D">
      <w:pPr>
        <w:numPr>
          <w:ilvl w:val="0"/>
          <w:numId w:val="30"/>
        </w:numPr>
        <w:overflowPunct w:val="0"/>
        <w:autoSpaceDE w:val="0"/>
        <w:autoSpaceDN w:val="0"/>
        <w:adjustRightInd w:val="0"/>
        <w:textAlignment w:val="baseline"/>
      </w:pPr>
      <w:r w:rsidRPr="002540DF">
        <w:t xml:space="preserve">Vytyčovací body jsou tvořeny </w:t>
      </w:r>
      <w:r w:rsidR="00BA59F6" w:rsidRPr="002540DF">
        <w:t>revizními šachtami</w:t>
      </w:r>
      <w:r w:rsidRPr="002540DF">
        <w:t>, jež jsou zakresleny v podrobné situaci (viz. situace stavby 1:500), není proto potřeba pro stavbu speciálních vytyčovacích prvků.</w:t>
      </w:r>
    </w:p>
    <w:p w14:paraId="25E5E640" w14:textId="77777777" w:rsidR="0046524D" w:rsidRPr="002540DF" w:rsidRDefault="0046524D" w:rsidP="0046524D">
      <w:pPr>
        <w:numPr>
          <w:ilvl w:val="0"/>
          <w:numId w:val="30"/>
        </w:numPr>
      </w:pPr>
      <w:r w:rsidRPr="002540DF">
        <w:t>Souřadnice šachet kanalizace v systému S-JTSK:</w:t>
      </w:r>
    </w:p>
    <w:p w14:paraId="7FBEDEF1" w14:textId="77777777" w:rsidR="0046524D" w:rsidRPr="002540DF" w:rsidRDefault="0046524D" w:rsidP="00026BE3">
      <w:pPr>
        <w:ind w:firstLine="0"/>
        <w:jc w:val="right"/>
        <w:rPr>
          <w:rFonts w:cs="Arial"/>
          <w:sz w:val="20"/>
          <w:szCs w:val="20"/>
        </w:rPr>
      </w:pPr>
    </w:p>
    <w:tbl>
      <w:tblPr>
        <w:tblW w:w="4390" w:type="dxa"/>
        <w:tblInd w:w="75" w:type="dxa"/>
        <w:tblCellMar>
          <w:left w:w="70" w:type="dxa"/>
          <w:right w:w="70" w:type="dxa"/>
        </w:tblCellMar>
        <w:tblLook w:val="04A0" w:firstRow="1" w:lastRow="0" w:firstColumn="1" w:lastColumn="0" w:noHBand="0" w:noVBand="1"/>
      </w:tblPr>
      <w:tblGrid>
        <w:gridCol w:w="952"/>
        <w:gridCol w:w="1453"/>
        <w:gridCol w:w="1985"/>
      </w:tblGrid>
      <w:tr w:rsidR="00001A5F" w:rsidRPr="002540DF" w14:paraId="1E485DEA" w14:textId="77777777" w:rsidTr="00A1093E">
        <w:trPr>
          <w:trHeight w:val="300"/>
        </w:trPr>
        <w:tc>
          <w:tcPr>
            <w:tcW w:w="43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BBE82" w14:textId="77777777" w:rsidR="00001A5F" w:rsidRPr="002540DF" w:rsidRDefault="007E7E46" w:rsidP="002540DF">
            <w:pPr>
              <w:pStyle w:val="Tabulka"/>
            </w:pPr>
            <w:r w:rsidRPr="002540DF">
              <w:t>STOKA A</w:t>
            </w:r>
          </w:p>
        </w:tc>
      </w:tr>
      <w:tr w:rsidR="00001A5F" w:rsidRPr="00026BE3" w14:paraId="748A7698" w14:textId="77777777" w:rsidTr="00A1093E">
        <w:trPr>
          <w:trHeight w:val="300"/>
        </w:trPr>
        <w:tc>
          <w:tcPr>
            <w:tcW w:w="952" w:type="dxa"/>
            <w:tcBorders>
              <w:top w:val="nil"/>
              <w:left w:val="single" w:sz="4" w:space="0" w:color="auto"/>
              <w:bottom w:val="single" w:sz="4" w:space="0" w:color="auto"/>
              <w:right w:val="single" w:sz="4" w:space="0" w:color="auto"/>
            </w:tcBorders>
            <w:shd w:val="clear" w:color="auto" w:fill="auto"/>
            <w:noWrap/>
            <w:vAlign w:val="center"/>
            <w:hideMark/>
          </w:tcPr>
          <w:p w14:paraId="5947A7EF" w14:textId="77777777" w:rsidR="00001A5F" w:rsidRPr="00026BE3" w:rsidRDefault="00001A5F" w:rsidP="002540DF">
            <w:pPr>
              <w:pStyle w:val="Tabulka"/>
              <w:rPr>
                <w:color w:val="000000"/>
              </w:rPr>
            </w:pPr>
            <w:r w:rsidRPr="00026BE3">
              <w:rPr>
                <w:color w:val="000000"/>
              </w:rPr>
              <w:t>ŠACHTA</w:t>
            </w:r>
          </w:p>
        </w:tc>
        <w:tc>
          <w:tcPr>
            <w:tcW w:w="1453" w:type="dxa"/>
            <w:tcBorders>
              <w:top w:val="single" w:sz="4" w:space="0" w:color="auto"/>
              <w:left w:val="nil"/>
              <w:bottom w:val="single" w:sz="4" w:space="0" w:color="auto"/>
              <w:right w:val="single" w:sz="4" w:space="0" w:color="auto"/>
            </w:tcBorders>
            <w:shd w:val="clear" w:color="auto" w:fill="auto"/>
            <w:noWrap/>
            <w:vAlign w:val="center"/>
            <w:hideMark/>
          </w:tcPr>
          <w:p w14:paraId="2D025211" w14:textId="77777777" w:rsidR="00001A5F" w:rsidRPr="00026BE3" w:rsidRDefault="00001A5F" w:rsidP="002540DF">
            <w:pPr>
              <w:pStyle w:val="Tabulka"/>
              <w:rPr>
                <w:color w:val="000000"/>
              </w:rPr>
            </w:pPr>
            <w:r w:rsidRPr="00026BE3">
              <w:rPr>
                <w:color w:val="000000"/>
              </w:rPr>
              <w:t>Y</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D1332A3" w14:textId="77777777" w:rsidR="00001A5F" w:rsidRPr="00026BE3" w:rsidRDefault="00001A5F" w:rsidP="002540DF">
            <w:pPr>
              <w:pStyle w:val="Tabulka"/>
              <w:rPr>
                <w:color w:val="000000"/>
              </w:rPr>
            </w:pPr>
            <w:r w:rsidRPr="00026BE3">
              <w:rPr>
                <w:color w:val="000000"/>
              </w:rPr>
              <w:t>X</w:t>
            </w:r>
          </w:p>
        </w:tc>
      </w:tr>
      <w:tr w:rsidR="00693119" w:rsidRPr="00026BE3" w14:paraId="5C185E4D" w14:textId="77777777" w:rsidTr="00A1093E">
        <w:trPr>
          <w:trHeight w:val="30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7EF4AE2F" w14:textId="77777777" w:rsidR="00693119" w:rsidRPr="00026BE3" w:rsidRDefault="00693119" w:rsidP="00693119">
            <w:pPr>
              <w:pStyle w:val="Tabulka"/>
              <w:rPr>
                <w:color w:val="000000"/>
              </w:rPr>
            </w:pPr>
            <w:r w:rsidRPr="00026BE3">
              <w:rPr>
                <w:color w:val="000000"/>
              </w:rPr>
              <w:t>ŠJ1</w:t>
            </w:r>
          </w:p>
        </w:tc>
        <w:tc>
          <w:tcPr>
            <w:tcW w:w="1453" w:type="dxa"/>
            <w:tcBorders>
              <w:top w:val="single" w:sz="4" w:space="0" w:color="auto"/>
              <w:left w:val="nil"/>
              <w:bottom w:val="single" w:sz="4" w:space="0" w:color="auto"/>
              <w:right w:val="single" w:sz="4" w:space="0" w:color="auto"/>
            </w:tcBorders>
            <w:shd w:val="clear" w:color="auto" w:fill="auto"/>
            <w:noWrap/>
            <w:vAlign w:val="bottom"/>
            <w:hideMark/>
          </w:tcPr>
          <w:p w14:paraId="0BCB42C7" w14:textId="77777777" w:rsidR="00693119" w:rsidRPr="00026BE3" w:rsidRDefault="00693119" w:rsidP="00693119">
            <w:pPr>
              <w:pStyle w:val="Tabulka"/>
              <w:rPr>
                <w:color w:val="000000"/>
              </w:rPr>
            </w:pPr>
            <w:r>
              <w:rPr>
                <w:color w:val="000000"/>
              </w:rPr>
              <w:t>669105.70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CD8FF5" w14:textId="77777777" w:rsidR="00693119" w:rsidRPr="00026BE3" w:rsidRDefault="00693119" w:rsidP="00693119">
            <w:pPr>
              <w:pStyle w:val="Tabulka"/>
              <w:rPr>
                <w:color w:val="000000"/>
              </w:rPr>
            </w:pPr>
            <w:r>
              <w:rPr>
                <w:color w:val="000000"/>
              </w:rPr>
              <w:t>1130331.36</w:t>
            </w:r>
          </w:p>
        </w:tc>
      </w:tr>
      <w:tr w:rsidR="00693119" w:rsidRPr="00026BE3" w14:paraId="5B9E5E2C" w14:textId="77777777" w:rsidTr="00A1093E">
        <w:trPr>
          <w:trHeight w:val="30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2DE6A7EF" w14:textId="77777777" w:rsidR="00693119" w:rsidRPr="00026BE3" w:rsidRDefault="00693119" w:rsidP="00693119">
            <w:pPr>
              <w:pStyle w:val="Tabulka"/>
              <w:rPr>
                <w:color w:val="000000"/>
              </w:rPr>
            </w:pPr>
            <w:r w:rsidRPr="00026BE3">
              <w:rPr>
                <w:color w:val="000000"/>
              </w:rPr>
              <w:t>ŠJ2</w:t>
            </w:r>
          </w:p>
        </w:tc>
        <w:tc>
          <w:tcPr>
            <w:tcW w:w="1453" w:type="dxa"/>
            <w:tcBorders>
              <w:top w:val="single" w:sz="4" w:space="0" w:color="auto"/>
              <w:left w:val="nil"/>
              <w:bottom w:val="single" w:sz="4" w:space="0" w:color="auto"/>
              <w:right w:val="single" w:sz="4" w:space="0" w:color="auto"/>
            </w:tcBorders>
            <w:shd w:val="clear" w:color="auto" w:fill="auto"/>
            <w:noWrap/>
            <w:vAlign w:val="bottom"/>
            <w:hideMark/>
          </w:tcPr>
          <w:p w14:paraId="04C54E40" w14:textId="77777777" w:rsidR="00693119" w:rsidRPr="00026BE3" w:rsidRDefault="00693119" w:rsidP="00693119">
            <w:pPr>
              <w:pStyle w:val="Tabulka"/>
              <w:rPr>
                <w:color w:val="000000"/>
              </w:rPr>
            </w:pPr>
            <w:r>
              <w:rPr>
                <w:color w:val="000000"/>
              </w:rPr>
              <w:t>669113.77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57993C" w14:textId="77777777" w:rsidR="00693119" w:rsidRPr="00026BE3" w:rsidRDefault="00693119" w:rsidP="00693119">
            <w:pPr>
              <w:pStyle w:val="Tabulka"/>
              <w:rPr>
                <w:color w:val="000000"/>
              </w:rPr>
            </w:pPr>
            <w:r>
              <w:rPr>
                <w:color w:val="000000"/>
              </w:rPr>
              <w:t>1130334.14</w:t>
            </w:r>
          </w:p>
        </w:tc>
      </w:tr>
      <w:tr w:rsidR="00693119" w:rsidRPr="00026BE3" w14:paraId="58FE368E" w14:textId="77777777" w:rsidTr="00A1093E">
        <w:trPr>
          <w:trHeight w:val="30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658FB3D8" w14:textId="77777777" w:rsidR="00693119" w:rsidRPr="00026BE3" w:rsidRDefault="00693119" w:rsidP="00693119">
            <w:pPr>
              <w:pStyle w:val="Tabulka"/>
              <w:rPr>
                <w:color w:val="000000"/>
              </w:rPr>
            </w:pPr>
            <w:r w:rsidRPr="00026BE3">
              <w:rPr>
                <w:color w:val="000000"/>
              </w:rPr>
              <w:t>ŠJ3</w:t>
            </w:r>
          </w:p>
        </w:tc>
        <w:tc>
          <w:tcPr>
            <w:tcW w:w="1453" w:type="dxa"/>
            <w:tcBorders>
              <w:top w:val="single" w:sz="4" w:space="0" w:color="auto"/>
              <w:left w:val="nil"/>
              <w:bottom w:val="single" w:sz="4" w:space="0" w:color="auto"/>
              <w:right w:val="single" w:sz="4" w:space="0" w:color="auto"/>
            </w:tcBorders>
            <w:shd w:val="clear" w:color="auto" w:fill="auto"/>
            <w:noWrap/>
            <w:vAlign w:val="bottom"/>
            <w:hideMark/>
          </w:tcPr>
          <w:p w14:paraId="54F35AF5" w14:textId="77777777" w:rsidR="00693119" w:rsidRPr="00026BE3" w:rsidRDefault="00693119" w:rsidP="00693119">
            <w:pPr>
              <w:pStyle w:val="Tabulka"/>
              <w:rPr>
                <w:color w:val="000000"/>
              </w:rPr>
            </w:pPr>
            <w:r>
              <w:rPr>
                <w:color w:val="000000"/>
              </w:rPr>
              <w:t>669119.28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F53BA7" w14:textId="77777777" w:rsidR="00693119" w:rsidRPr="00026BE3" w:rsidRDefault="00693119" w:rsidP="00693119">
            <w:pPr>
              <w:pStyle w:val="Tabulka"/>
              <w:rPr>
                <w:color w:val="000000"/>
              </w:rPr>
            </w:pPr>
            <w:r>
              <w:rPr>
                <w:color w:val="000000"/>
              </w:rPr>
              <w:t>1130336.56</w:t>
            </w:r>
          </w:p>
        </w:tc>
      </w:tr>
      <w:tr w:rsidR="00693119" w:rsidRPr="00026BE3" w14:paraId="5BF85FF4" w14:textId="77777777" w:rsidTr="001F7CF5">
        <w:trPr>
          <w:trHeight w:val="300"/>
        </w:trPr>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2B7FCAF7" w14:textId="77777777" w:rsidR="00693119" w:rsidRPr="00026BE3" w:rsidRDefault="00693119" w:rsidP="00693119">
            <w:pPr>
              <w:pStyle w:val="Tabulka"/>
              <w:rPr>
                <w:color w:val="000000"/>
              </w:rPr>
            </w:pPr>
            <w:r w:rsidRPr="00026BE3">
              <w:rPr>
                <w:color w:val="000000"/>
              </w:rPr>
              <w:t>ŠJ4</w:t>
            </w:r>
          </w:p>
        </w:tc>
        <w:tc>
          <w:tcPr>
            <w:tcW w:w="1453" w:type="dxa"/>
            <w:tcBorders>
              <w:top w:val="single" w:sz="4" w:space="0" w:color="auto"/>
              <w:left w:val="nil"/>
              <w:bottom w:val="single" w:sz="4" w:space="0" w:color="auto"/>
              <w:right w:val="single" w:sz="4" w:space="0" w:color="auto"/>
            </w:tcBorders>
            <w:shd w:val="clear" w:color="auto" w:fill="auto"/>
            <w:noWrap/>
            <w:vAlign w:val="bottom"/>
            <w:hideMark/>
          </w:tcPr>
          <w:p w14:paraId="609A365A" w14:textId="77777777" w:rsidR="00693119" w:rsidRPr="00026BE3" w:rsidRDefault="00693119" w:rsidP="00693119">
            <w:pPr>
              <w:pStyle w:val="Tabulka"/>
              <w:rPr>
                <w:color w:val="000000"/>
              </w:rPr>
            </w:pPr>
            <w:r>
              <w:rPr>
                <w:color w:val="000000"/>
              </w:rPr>
              <w:t>669148.07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24059F" w14:textId="77777777" w:rsidR="00693119" w:rsidRPr="00026BE3" w:rsidRDefault="00693119" w:rsidP="00693119">
            <w:pPr>
              <w:pStyle w:val="Tabulka"/>
              <w:rPr>
                <w:color w:val="000000"/>
              </w:rPr>
            </w:pPr>
            <w:r>
              <w:rPr>
                <w:color w:val="000000"/>
              </w:rPr>
              <w:t>1130342.84</w:t>
            </w:r>
          </w:p>
        </w:tc>
      </w:tr>
      <w:tr w:rsidR="00693119" w:rsidRPr="00026BE3" w14:paraId="2A6B8A82" w14:textId="77777777" w:rsidTr="001F7CF5">
        <w:trPr>
          <w:trHeight w:val="300"/>
        </w:trPr>
        <w:tc>
          <w:tcPr>
            <w:tcW w:w="9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860082" w14:textId="77777777" w:rsidR="00693119" w:rsidRPr="00026BE3" w:rsidRDefault="00693119" w:rsidP="00693119">
            <w:pPr>
              <w:pStyle w:val="Tabulka"/>
              <w:rPr>
                <w:color w:val="000000"/>
              </w:rPr>
            </w:pPr>
            <w:bookmarkStart w:id="32" w:name="_Hlk131492058"/>
            <w:r w:rsidRPr="00026BE3">
              <w:rPr>
                <w:color w:val="000000"/>
              </w:rPr>
              <w:t>ŠJ5</w:t>
            </w:r>
          </w:p>
        </w:tc>
        <w:tc>
          <w:tcPr>
            <w:tcW w:w="1453" w:type="dxa"/>
            <w:tcBorders>
              <w:top w:val="single" w:sz="4" w:space="0" w:color="auto"/>
              <w:left w:val="nil"/>
              <w:bottom w:val="single" w:sz="4" w:space="0" w:color="auto"/>
              <w:right w:val="single" w:sz="4" w:space="0" w:color="auto"/>
            </w:tcBorders>
            <w:shd w:val="clear" w:color="auto" w:fill="auto"/>
            <w:noWrap/>
            <w:vAlign w:val="bottom"/>
            <w:hideMark/>
          </w:tcPr>
          <w:p w14:paraId="49CE7882" w14:textId="77777777" w:rsidR="00693119" w:rsidRPr="00026BE3" w:rsidRDefault="00693119" w:rsidP="00693119">
            <w:pPr>
              <w:pStyle w:val="Tabulka"/>
              <w:rPr>
                <w:color w:val="000000"/>
              </w:rPr>
            </w:pPr>
            <w:r>
              <w:rPr>
                <w:color w:val="000000"/>
              </w:rPr>
              <w:t>669188.32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F1E1AE" w14:textId="77777777" w:rsidR="00693119" w:rsidRPr="00026BE3" w:rsidRDefault="00693119" w:rsidP="00693119">
            <w:pPr>
              <w:pStyle w:val="Tabulka"/>
              <w:rPr>
                <w:color w:val="000000"/>
              </w:rPr>
            </w:pPr>
            <w:r>
              <w:rPr>
                <w:color w:val="000000"/>
              </w:rPr>
              <w:t>1130346.26</w:t>
            </w:r>
          </w:p>
        </w:tc>
      </w:tr>
      <w:tr w:rsidR="00693119" w:rsidRPr="00026BE3" w14:paraId="2D432FF7" w14:textId="77777777" w:rsidTr="001F7CF5">
        <w:trPr>
          <w:trHeight w:val="300"/>
        </w:trPr>
        <w:tc>
          <w:tcPr>
            <w:tcW w:w="9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AD5CD6" w14:textId="77777777" w:rsidR="00693119" w:rsidRPr="00026BE3" w:rsidRDefault="00693119" w:rsidP="00693119">
            <w:pPr>
              <w:pStyle w:val="Tabulka"/>
              <w:rPr>
                <w:color w:val="000000"/>
              </w:rPr>
            </w:pPr>
            <w:r>
              <w:rPr>
                <w:color w:val="000000"/>
              </w:rPr>
              <w:t>ŠJ6</w:t>
            </w:r>
          </w:p>
        </w:tc>
        <w:tc>
          <w:tcPr>
            <w:tcW w:w="1453" w:type="dxa"/>
            <w:tcBorders>
              <w:top w:val="single" w:sz="4" w:space="0" w:color="auto"/>
              <w:left w:val="nil"/>
              <w:bottom w:val="single" w:sz="4" w:space="0" w:color="auto"/>
              <w:right w:val="single" w:sz="4" w:space="0" w:color="auto"/>
            </w:tcBorders>
            <w:shd w:val="clear" w:color="auto" w:fill="auto"/>
            <w:noWrap/>
            <w:vAlign w:val="bottom"/>
          </w:tcPr>
          <w:p w14:paraId="67CF861C" w14:textId="77777777" w:rsidR="00693119" w:rsidRDefault="00693119" w:rsidP="00693119">
            <w:pPr>
              <w:pStyle w:val="Tabulka"/>
              <w:rPr>
                <w:color w:val="000000"/>
              </w:rPr>
            </w:pPr>
            <w:r>
              <w:rPr>
                <w:color w:val="000000"/>
              </w:rPr>
              <w:t>669197.44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58D07E" w14:textId="77777777" w:rsidR="00693119" w:rsidRDefault="00693119" w:rsidP="00693119">
            <w:pPr>
              <w:pStyle w:val="Tabulka"/>
              <w:rPr>
                <w:color w:val="000000"/>
              </w:rPr>
            </w:pPr>
            <w:r>
              <w:rPr>
                <w:color w:val="000000"/>
              </w:rPr>
              <w:t>1130346.88</w:t>
            </w:r>
          </w:p>
        </w:tc>
      </w:tr>
      <w:tr w:rsidR="00693119" w:rsidRPr="00026BE3" w14:paraId="13FAC5B8" w14:textId="77777777" w:rsidTr="001F7CF5">
        <w:trPr>
          <w:trHeight w:val="300"/>
        </w:trPr>
        <w:tc>
          <w:tcPr>
            <w:tcW w:w="9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93E76F" w14:textId="77777777" w:rsidR="00693119" w:rsidRPr="00026BE3" w:rsidRDefault="00693119" w:rsidP="00693119">
            <w:pPr>
              <w:pStyle w:val="Tabulka"/>
              <w:rPr>
                <w:color w:val="000000"/>
              </w:rPr>
            </w:pPr>
            <w:r>
              <w:rPr>
                <w:color w:val="000000"/>
              </w:rPr>
              <w:t>ŠJ7</w:t>
            </w:r>
          </w:p>
        </w:tc>
        <w:tc>
          <w:tcPr>
            <w:tcW w:w="1453" w:type="dxa"/>
            <w:tcBorders>
              <w:top w:val="single" w:sz="4" w:space="0" w:color="auto"/>
              <w:left w:val="nil"/>
              <w:bottom w:val="single" w:sz="4" w:space="0" w:color="auto"/>
              <w:right w:val="single" w:sz="4" w:space="0" w:color="auto"/>
            </w:tcBorders>
            <w:shd w:val="clear" w:color="auto" w:fill="auto"/>
            <w:noWrap/>
            <w:vAlign w:val="bottom"/>
          </w:tcPr>
          <w:p w14:paraId="1622327E" w14:textId="77777777" w:rsidR="00693119" w:rsidRDefault="00693119" w:rsidP="00693119">
            <w:pPr>
              <w:pStyle w:val="Tabulka"/>
              <w:rPr>
                <w:color w:val="000000"/>
              </w:rPr>
            </w:pPr>
            <w:r>
              <w:rPr>
                <w:color w:val="000000"/>
              </w:rPr>
              <w:t>669236.93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F7C2D9" w14:textId="77777777" w:rsidR="00693119" w:rsidRDefault="00693119" w:rsidP="00693119">
            <w:pPr>
              <w:pStyle w:val="Tabulka"/>
              <w:rPr>
                <w:color w:val="000000"/>
              </w:rPr>
            </w:pPr>
            <w:r>
              <w:rPr>
                <w:color w:val="000000"/>
              </w:rPr>
              <w:t>1130348.04</w:t>
            </w:r>
          </w:p>
        </w:tc>
      </w:tr>
      <w:bookmarkEnd w:id="32"/>
    </w:tbl>
    <w:p w14:paraId="167FD0E1" w14:textId="77777777" w:rsidR="0046524D" w:rsidRPr="002540DF" w:rsidRDefault="0046524D" w:rsidP="002540DF">
      <w:pPr>
        <w:pStyle w:val="Tabulka"/>
      </w:pPr>
    </w:p>
    <w:p w14:paraId="407D0195" w14:textId="77777777" w:rsidR="00156571" w:rsidRPr="002540DF" w:rsidRDefault="00156571" w:rsidP="002540DF">
      <w:pPr>
        <w:pStyle w:val="Tabulka"/>
      </w:pPr>
    </w:p>
    <w:tbl>
      <w:tblPr>
        <w:tblW w:w="4444"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52"/>
        <w:gridCol w:w="1507"/>
        <w:gridCol w:w="1985"/>
      </w:tblGrid>
      <w:tr w:rsidR="00001A5F" w:rsidRPr="002540DF" w14:paraId="5BD78EC3" w14:textId="77777777" w:rsidTr="001F7CF5">
        <w:trPr>
          <w:trHeight w:val="300"/>
        </w:trPr>
        <w:tc>
          <w:tcPr>
            <w:tcW w:w="4444" w:type="dxa"/>
            <w:gridSpan w:val="3"/>
            <w:shd w:val="clear" w:color="auto" w:fill="auto"/>
            <w:noWrap/>
            <w:vAlign w:val="center"/>
            <w:hideMark/>
          </w:tcPr>
          <w:p w14:paraId="16B293AA" w14:textId="77777777" w:rsidR="00001A5F" w:rsidRPr="002540DF" w:rsidRDefault="00001A5F" w:rsidP="002540DF">
            <w:pPr>
              <w:pStyle w:val="Tabulka"/>
            </w:pPr>
            <w:r w:rsidRPr="002540DF">
              <w:t xml:space="preserve">STOKA </w:t>
            </w:r>
            <w:r w:rsidR="001C5591" w:rsidRPr="002540DF">
              <w:t>A-1</w:t>
            </w:r>
          </w:p>
        </w:tc>
      </w:tr>
      <w:tr w:rsidR="00001A5F" w:rsidRPr="002540DF" w14:paraId="399B0DD2" w14:textId="77777777" w:rsidTr="001F7CF5">
        <w:trPr>
          <w:trHeight w:val="300"/>
        </w:trPr>
        <w:tc>
          <w:tcPr>
            <w:tcW w:w="952" w:type="dxa"/>
            <w:shd w:val="clear" w:color="auto" w:fill="auto"/>
            <w:noWrap/>
            <w:vAlign w:val="center"/>
            <w:hideMark/>
          </w:tcPr>
          <w:p w14:paraId="778CBCE8" w14:textId="77777777" w:rsidR="00001A5F" w:rsidRPr="002540DF" w:rsidRDefault="00001A5F" w:rsidP="002540DF">
            <w:pPr>
              <w:pStyle w:val="Tabulka"/>
            </w:pPr>
            <w:r w:rsidRPr="002540DF">
              <w:t>ŠACHTA</w:t>
            </w:r>
          </w:p>
        </w:tc>
        <w:tc>
          <w:tcPr>
            <w:tcW w:w="1507" w:type="dxa"/>
            <w:shd w:val="clear" w:color="auto" w:fill="auto"/>
            <w:noWrap/>
            <w:vAlign w:val="center"/>
            <w:hideMark/>
          </w:tcPr>
          <w:p w14:paraId="6D3809F6" w14:textId="77777777" w:rsidR="00001A5F" w:rsidRPr="002540DF" w:rsidRDefault="00001A5F" w:rsidP="002540DF">
            <w:pPr>
              <w:pStyle w:val="Tabulka"/>
            </w:pPr>
            <w:r w:rsidRPr="002540DF">
              <w:t>Y</w:t>
            </w:r>
          </w:p>
        </w:tc>
        <w:tc>
          <w:tcPr>
            <w:tcW w:w="1985" w:type="dxa"/>
            <w:shd w:val="clear" w:color="auto" w:fill="auto"/>
            <w:noWrap/>
            <w:vAlign w:val="center"/>
            <w:hideMark/>
          </w:tcPr>
          <w:p w14:paraId="19E321F9" w14:textId="77777777" w:rsidR="00001A5F" w:rsidRPr="002540DF" w:rsidRDefault="00001A5F" w:rsidP="002540DF">
            <w:pPr>
              <w:pStyle w:val="Tabulka"/>
            </w:pPr>
            <w:r w:rsidRPr="002540DF">
              <w:t>X</w:t>
            </w:r>
          </w:p>
        </w:tc>
      </w:tr>
      <w:tr w:rsidR="00693119" w:rsidRPr="002540DF" w14:paraId="76B0EE48" w14:textId="77777777" w:rsidTr="001F7CF5">
        <w:trPr>
          <w:trHeight w:val="300"/>
        </w:trPr>
        <w:tc>
          <w:tcPr>
            <w:tcW w:w="952" w:type="dxa"/>
            <w:shd w:val="clear" w:color="auto" w:fill="auto"/>
            <w:noWrap/>
            <w:vAlign w:val="bottom"/>
            <w:hideMark/>
          </w:tcPr>
          <w:p w14:paraId="0C6E0C41" w14:textId="77777777" w:rsidR="00693119" w:rsidRPr="002540DF" w:rsidRDefault="00693119" w:rsidP="00693119">
            <w:pPr>
              <w:pStyle w:val="Tabulka"/>
            </w:pPr>
            <w:r w:rsidRPr="002540DF">
              <w:t>ŠJ</w:t>
            </w:r>
            <w:r>
              <w:t>5</w:t>
            </w:r>
          </w:p>
        </w:tc>
        <w:tc>
          <w:tcPr>
            <w:tcW w:w="1507" w:type="dxa"/>
            <w:shd w:val="clear" w:color="auto" w:fill="auto"/>
            <w:noWrap/>
            <w:vAlign w:val="bottom"/>
            <w:hideMark/>
          </w:tcPr>
          <w:p w14:paraId="74D8E0B8" w14:textId="77777777" w:rsidR="00693119" w:rsidRPr="002540DF" w:rsidRDefault="00693119" w:rsidP="00693119">
            <w:pPr>
              <w:pStyle w:val="Tabulka"/>
            </w:pPr>
            <w:r>
              <w:rPr>
                <w:color w:val="000000"/>
              </w:rPr>
              <w:t>669188.32</w:t>
            </w:r>
          </w:p>
        </w:tc>
        <w:tc>
          <w:tcPr>
            <w:tcW w:w="1985" w:type="dxa"/>
            <w:shd w:val="clear" w:color="auto" w:fill="auto"/>
            <w:noWrap/>
            <w:vAlign w:val="bottom"/>
            <w:hideMark/>
          </w:tcPr>
          <w:p w14:paraId="3F31DB25" w14:textId="77777777" w:rsidR="00693119" w:rsidRPr="002540DF" w:rsidRDefault="00693119" w:rsidP="00693119">
            <w:pPr>
              <w:pStyle w:val="Tabulka"/>
            </w:pPr>
            <w:r>
              <w:rPr>
                <w:color w:val="000000"/>
              </w:rPr>
              <w:t>1130346.26</w:t>
            </w:r>
          </w:p>
        </w:tc>
      </w:tr>
      <w:tr w:rsidR="00026BE3" w:rsidRPr="002540DF" w14:paraId="70611B9C" w14:textId="77777777" w:rsidTr="001F7CF5">
        <w:trPr>
          <w:trHeight w:val="300"/>
        </w:trPr>
        <w:tc>
          <w:tcPr>
            <w:tcW w:w="952" w:type="dxa"/>
            <w:shd w:val="clear" w:color="auto" w:fill="auto"/>
            <w:noWrap/>
            <w:vAlign w:val="bottom"/>
            <w:hideMark/>
          </w:tcPr>
          <w:p w14:paraId="7CB24A2C" w14:textId="77777777" w:rsidR="00026BE3" w:rsidRPr="002540DF" w:rsidRDefault="00026BE3" w:rsidP="002540DF">
            <w:pPr>
              <w:pStyle w:val="Tabulka"/>
            </w:pPr>
            <w:r w:rsidRPr="002540DF">
              <w:t>ŠJ</w:t>
            </w:r>
            <w:r w:rsidR="001F7CF5">
              <w:t>8</w:t>
            </w:r>
          </w:p>
        </w:tc>
        <w:tc>
          <w:tcPr>
            <w:tcW w:w="1507" w:type="dxa"/>
            <w:shd w:val="clear" w:color="auto" w:fill="auto"/>
            <w:noWrap/>
            <w:vAlign w:val="bottom"/>
            <w:hideMark/>
          </w:tcPr>
          <w:p w14:paraId="5ED46A4D" w14:textId="77777777" w:rsidR="00026BE3" w:rsidRPr="002540DF" w:rsidRDefault="00CB659C" w:rsidP="002540DF">
            <w:pPr>
              <w:pStyle w:val="Tabulka"/>
            </w:pPr>
            <w:r w:rsidRPr="002540DF">
              <w:t>669187.</w:t>
            </w:r>
            <w:r w:rsidR="001F7CF5">
              <w:t>5</w:t>
            </w:r>
            <w:r w:rsidRPr="002540DF">
              <w:t>6</w:t>
            </w:r>
          </w:p>
        </w:tc>
        <w:tc>
          <w:tcPr>
            <w:tcW w:w="1985" w:type="dxa"/>
            <w:shd w:val="clear" w:color="auto" w:fill="auto"/>
            <w:noWrap/>
            <w:vAlign w:val="bottom"/>
            <w:hideMark/>
          </w:tcPr>
          <w:p w14:paraId="15FEF09B" w14:textId="77777777" w:rsidR="00026BE3" w:rsidRPr="002540DF" w:rsidRDefault="00CB659C" w:rsidP="002540DF">
            <w:pPr>
              <w:pStyle w:val="Tabulka"/>
            </w:pPr>
            <w:r w:rsidRPr="002540DF">
              <w:t>1130352.</w:t>
            </w:r>
            <w:r w:rsidR="001F7CF5">
              <w:t>48</w:t>
            </w:r>
          </w:p>
        </w:tc>
      </w:tr>
    </w:tbl>
    <w:p w14:paraId="586D1D71" w14:textId="77777777" w:rsidR="00001A5F" w:rsidRPr="002540DF" w:rsidRDefault="00001A5F" w:rsidP="002540DF">
      <w:pPr>
        <w:pStyle w:val="Tabulka"/>
      </w:pPr>
    </w:p>
    <w:p w14:paraId="6D0F55EF" w14:textId="77777777" w:rsidR="00001A5F" w:rsidRPr="002540DF" w:rsidRDefault="00001A5F" w:rsidP="002540DF">
      <w:pPr>
        <w:pStyle w:val="Tabulka"/>
      </w:pPr>
    </w:p>
    <w:tbl>
      <w:tblPr>
        <w:tblW w:w="4444"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52"/>
        <w:gridCol w:w="1507"/>
        <w:gridCol w:w="1985"/>
      </w:tblGrid>
      <w:tr w:rsidR="002540DF" w:rsidRPr="002540DF" w14:paraId="164782FD" w14:textId="77777777" w:rsidTr="001F7CF5">
        <w:trPr>
          <w:trHeight w:val="300"/>
        </w:trPr>
        <w:tc>
          <w:tcPr>
            <w:tcW w:w="4444" w:type="dxa"/>
            <w:gridSpan w:val="3"/>
            <w:shd w:val="clear" w:color="auto" w:fill="auto"/>
            <w:noWrap/>
            <w:vAlign w:val="center"/>
            <w:hideMark/>
          </w:tcPr>
          <w:p w14:paraId="0060A285" w14:textId="77777777" w:rsidR="0058587E" w:rsidRPr="002540DF" w:rsidRDefault="0058587E" w:rsidP="002540DF">
            <w:pPr>
              <w:pStyle w:val="Tabulka"/>
            </w:pPr>
            <w:r w:rsidRPr="002540DF">
              <w:t xml:space="preserve">STOKA </w:t>
            </w:r>
            <w:r w:rsidR="001C5591" w:rsidRPr="002540DF">
              <w:t>A-2</w:t>
            </w:r>
          </w:p>
        </w:tc>
      </w:tr>
      <w:tr w:rsidR="002540DF" w:rsidRPr="002540DF" w14:paraId="0FEE585C" w14:textId="77777777" w:rsidTr="001F7CF5">
        <w:trPr>
          <w:trHeight w:val="300"/>
        </w:trPr>
        <w:tc>
          <w:tcPr>
            <w:tcW w:w="952" w:type="dxa"/>
            <w:shd w:val="clear" w:color="auto" w:fill="auto"/>
            <w:noWrap/>
            <w:vAlign w:val="center"/>
            <w:hideMark/>
          </w:tcPr>
          <w:p w14:paraId="5078E001" w14:textId="77777777" w:rsidR="0058587E" w:rsidRPr="002540DF" w:rsidRDefault="0058587E" w:rsidP="002540DF">
            <w:pPr>
              <w:pStyle w:val="Tabulka"/>
            </w:pPr>
            <w:r w:rsidRPr="002540DF">
              <w:t>ŠACHTA</w:t>
            </w:r>
          </w:p>
        </w:tc>
        <w:tc>
          <w:tcPr>
            <w:tcW w:w="1507" w:type="dxa"/>
            <w:shd w:val="clear" w:color="auto" w:fill="auto"/>
            <w:noWrap/>
            <w:vAlign w:val="center"/>
            <w:hideMark/>
          </w:tcPr>
          <w:p w14:paraId="48366222" w14:textId="77777777" w:rsidR="0058587E" w:rsidRPr="002540DF" w:rsidRDefault="0058587E" w:rsidP="002540DF">
            <w:pPr>
              <w:pStyle w:val="Tabulka"/>
            </w:pPr>
            <w:r w:rsidRPr="002540DF">
              <w:t>Y</w:t>
            </w:r>
          </w:p>
        </w:tc>
        <w:tc>
          <w:tcPr>
            <w:tcW w:w="1985" w:type="dxa"/>
            <w:shd w:val="clear" w:color="auto" w:fill="auto"/>
            <w:noWrap/>
            <w:vAlign w:val="center"/>
            <w:hideMark/>
          </w:tcPr>
          <w:p w14:paraId="695F8140" w14:textId="77777777" w:rsidR="0058587E" w:rsidRPr="002540DF" w:rsidRDefault="0058587E" w:rsidP="002540DF">
            <w:pPr>
              <w:pStyle w:val="Tabulka"/>
            </w:pPr>
            <w:r w:rsidRPr="002540DF">
              <w:t>X</w:t>
            </w:r>
          </w:p>
        </w:tc>
      </w:tr>
      <w:tr w:rsidR="00693119" w:rsidRPr="002540DF" w14:paraId="05C09208" w14:textId="77777777" w:rsidTr="001F7CF5">
        <w:trPr>
          <w:trHeight w:val="300"/>
        </w:trPr>
        <w:tc>
          <w:tcPr>
            <w:tcW w:w="952" w:type="dxa"/>
            <w:shd w:val="clear" w:color="auto" w:fill="auto"/>
            <w:noWrap/>
            <w:vAlign w:val="bottom"/>
            <w:hideMark/>
          </w:tcPr>
          <w:p w14:paraId="45C0684F" w14:textId="77777777" w:rsidR="00693119" w:rsidRPr="002540DF" w:rsidRDefault="00693119" w:rsidP="00693119">
            <w:pPr>
              <w:pStyle w:val="Tabulka"/>
            </w:pPr>
            <w:r w:rsidRPr="002540DF">
              <w:t>ŠJ</w:t>
            </w:r>
            <w:r>
              <w:t>6</w:t>
            </w:r>
          </w:p>
        </w:tc>
        <w:tc>
          <w:tcPr>
            <w:tcW w:w="1507" w:type="dxa"/>
            <w:shd w:val="clear" w:color="auto" w:fill="auto"/>
            <w:noWrap/>
            <w:vAlign w:val="bottom"/>
            <w:hideMark/>
          </w:tcPr>
          <w:p w14:paraId="016E82F5" w14:textId="77777777" w:rsidR="00693119" w:rsidRPr="002540DF" w:rsidRDefault="00693119" w:rsidP="00693119">
            <w:pPr>
              <w:pStyle w:val="Tabulka"/>
            </w:pPr>
            <w:r>
              <w:rPr>
                <w:color w:val="000000"/>
              </w:rPr>
              <w:t>669197.44</w:t>
            </w:r>
          </w:p>
        </w:tc>
        <w:tc>
          <w:tcPr>
            <w:tcW w:w="1985" w:type="dxa"/>
            <w:shd w:val="clear" w:color="auto" w:fill="auto"/>
            <w:noWrap/>
            <w:vAlign w:val="bottom"/>
            <w:hideMark/>
          </w:tcPr>
          <w:p w14:paraId="07A2A5D5" w14:textId="77777777" w:rsidR="00693119" w:rsidRPr="002540DF" w:rsidRDefault="00693119" w:rsidP="00693119">
            <w:pPr>
              <w:pStyle w:val="Tabulka"/>
            </w:pPr>
            <w:r>
              <w:rPr>
                <w:color w:val="000000"/>
              </w:rPr>
              <w:t>1130346.88</w:t>
            </w:r>
          </w:p>
        </w:tc>
      </w:tr>
      <w:tr w:rsidR="002540DF" w:rsidRPr="002540DF" w14:paraId="37C3EA62" w14:textId="77777777" w:rsidTr="001F7CF5">
        <w:trPr>
          <w:trHeight w:val="300"/>
        </w:trPr>
        <w:tc>
          <w:tcPr>
            <w:tcW w:w="952" w:type="dxa"/>
            <w:shd w:val="clear" w:color="auto" w:fill="auto"/>
            <w:noWrap/>
            <w:vAlign w:val="bottom"/>
            <w:hideMark/>
          </w:tcPr>
          <w:p w14:paraId="47AEFDFB" w14:textId="77777777" w:rsidR="00026BE3" w:rsidRPr="002540DF" w:rsidRDefault="00026BE3" w:rsidP="002540DF">
            <w:pPr>
              <w:pStyle w:val="Tabulka"/>
            </w:pPr>
            <w:r w:rsidRPr="002540DF">
              <w:t>ŠJ</w:t>
            </w:r>
            <w:r w:rsidR="001F7CF5">
              <w:t>9</w:t>
            </w:r>
          </w:p>
        </w:tc>
        <w:tc>
          <w:tcPr>
            <w:tcW w:w="1507" w:type="dxa"/>
            <w:shd w:val="clear" w:color="auto" w:fill="auto"/>
            <w:noWrap/>
            <w:vAlign w:val="bottom"/>
            <w:hideMark/>
          </w:tcPr>
          <w:p w14:paraId="1F5269CE" w14:textId="77777777" w:rsidR="00026BE3" w:rsidRPr="002540DF" w:rsidRDefault="00CB659C" w:rsidP="002540DF">
            <w:pPr>
              <w:pStyle w:val="Tabulka"/>
            </w:pPr>
            <w:r w:rsidRPr="002540DF">
              <w:t>669199.57</w:t>
            </w:r>
          </w:p>
        </w:tc>
        <w:tc>
          <w:tcPr>
            <w:tcW w:w="1985" w:type="dxa"/>
            <w:shd w:val="clear" w:color="auto" w:fill="auto"/>
            <w:noWrap/>
            <w:vAlign w:val="bottom"/>
            <w:hideMark/>
          </w:tcPr>
          <w:p w14:paraId="37B1B6F0" w14:textId="77777777" w:rsidR="00026BE3" w:rsidRPr="002540DF" w:rsidRDefault="00CB659C" w:rsidP="002540DF">
            <w:pPr>
              <w:pStyle w:val="Tabulka"/>
            </w:pPr>
            <w:r w:rsidRPr="002540DF">
              <w:t>1130338.83</w:t>
            </w:r>
          </w:p>
        </w:tc>
      </w:tr>
    </w:tbl>
    <w:p w14:paraId="7203793B" w14:textId="77777777" w:rsidR="0046524D" w:rsidRPr="002540DF" w:rsidRDefault="0046524D" w:rsidP="0046524D">
      <w:pPr>
        <w:overflowPunct w:val="0"/>
        <w:autoSpaceDE w:val="0"/>
        <w:autoSpaceDN w:val="0"/>
        <w:adjustRightInd w:val="0"/>
        <w:ind w:left="283"/>
        <w:textAlignment w:val="baseline"/>
        <w:rPr>
          <w:highlight w:val="yellow"/>
        </w:rPr>
      </w:pPr>
    </w:p>
    <w:p w14:paraId="0A4EBF27" w14:textId="77777777" w:rsidR="0046524D" w:rsidRPr="002540DF" w:rsidRDefault="0046524D" w:rsidP="00CB659C">
      <w:pPr>
        <w:pStyle w:val="Nadpis1"/>
      </w:pPr>
      <w:bookmarkStart w:id="33" w:name="_Toc434053179"/>
      <w:bookmarkStart w:id="34" w:name="_Toc462147804"/>
      <w:bookmarkStart w:id="35" w:name="_Toc18245528"/>
      <w:bookmarkStart w:id="36" w:name="_Toc23433103"/>
      <w:bookmarkStart w:id="37" w:name="_Toc199415719"/>
      <w:r w:rsidRPr="002540DF">
        <w:t>Požárně bezpečnostní řešení</w:t>
      </w:r>
      <w:bookmarkEnd w:id="33"/>
      <w:bookmarkEnd w:id="34"/>
      <w:bookmarkEnd w:id="35"/>
      <w:bookmarkEnd w:id="36"/>
      <w:bookmarkEnd w:id="37"/>
    </w:p>
    <w:p w14:paraId="0A07F23E" w14:textId="77777777" w:rsidR="0046524D" w:rsidRPr="002540DF" w:rsidRDefault="0046524D" w:rsidP="0046524D">
      <w:r w:rsidRPr="002540DF">
        <w:tab/>
        <w:t>Z požárního hlediska se stavba pojímá jako bez požárního rizika. Stavbu tvoří objekty, které jsou nehořlavé.</w:t>
      </w:r>
    </w:p>
    <w:p w14:paraId="6DE4FB67" w14:textId="77777777" w:rsidR="00836475" w:rsidRPr="00EA5C60" w:rsidRDefault="00836475" w:rsidP="00836475">
      <w:pPr>
        <w:pStyle w:val="Zkladntext"/>
        <w:ind w:firstLine="0"/>
        <w:rPr>
          <w:highlight w:val="yellow"/>
        </w:rPr>
      </w:pPr>
    </w:p>
    <w:p w14:paraId="048D982E" w14:textId="77777777" w:rsidR="003F08B9" w:rsidRPr="007773DA" w:rsidRDefault="003F08B9" w:rsidP="00CB659C">
      <w:pPr>
        <w:pStyle w:val="Nadpis1"/>
      </w:pPr>
      <w:bookmarkStart w:id="38" w:name="_Toc199415720"/>
      <w:r w:rsidRPr="007773DA">
        <w:lastRenderedPageBreak/>
        <w:t>Hydrotechnické výpočty</w:t>
      </w:r>
      <w:bookmarkEnd w:id="38"/>
    </w:p>
    <w:p w14:paraId="4713D6A1" w14:textId="77777777" w:rsidR="00446026" w:rsidRDefault="00446026" w:rsidP="00446026">
      <w:pPr>
        <w:pStyle w:val="Nadpis2"/>
      </w:pPr>
      <w:bookmarkStart w:id="39" w:name="_Toc159414886"/>
      <w:bookmarkStart w:id="40" w:name="_Toc199415721"/>
      <w:r>
        <w:t>Produkce dešťových vod a výpočet návrhového průtoku</w:t>
      </w:r>
      <w:r w:rsidRPr="007237C7">
        <w:t>:</w:t>
      </w:r>
      <w:bookmarkEnd w:id="39"/>
      <w:bookmarkEnd w:id="40"/>
    </w:p>
    <w:p w14:paraId="5F1DC7FC" w14:textId="61237C56" w:rsidR="00446026" w:rsidRDefault="003F3BBF" w:rsidP="00446026">
      <w:pPr>
        <w:ind w:firstLine="0"/>
        <w:rPr>
          <w:noProof/>
        </w:rPr>
      </w:pPr>
      <w:r w:rsidRPr="00C87BDA">
        <w:rPr>
          <w:noProof/>
        </w:rPr>
        <w:drawing>
          <wp:inline distT="0" distB="0" distL="0" distR="0" wp14:anchorId="49C5B060" wp14:editId="16C6BBE8">
            <wp:extent cx="5762625" cy="3457575"/>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2625" cy="3457575"/>
                    </a:xfrm>
                    <a:prstGeom prst="rect">
                      <a:avLst/>
                    </a:prstGeom>
                    <a:noFill/>
                    <a:ln>
                      <a:noFill/>
                    </a:ln>
                  </pic:spPr>
                </pic:pic>
              </a:graphicData>
            </a:graphic>
          </wp:inline>
        </w:drawing>
      </w:r>
    </w:p>
    <w:p w14:paraId="148E0529" w14:textId="77777777" w:rsidR="008C4A07" w:rsidRDefault="008C4A07" w:rsidP="00446026">
      <w:pPr>
        <w:ind w:firstLine="0"/>
        <w:rPr>
          <w:noProof/>
        </w:rPr>
      </w:pPr>
    </w:p>
    <w:p w14:paraId="2768BDFA" w14:textId="557FEB75" w:rsidR="008C4A07" w:rsidRDefault="003F3BBF" w:rsidP="00446026">
      <w:pPr>
        <w:ind w:firstLine="0"/>
      </w:pPr>
      <w:r w:rsidRPr="008C4A07">
        <w:rPr>
          <w:noProof/>
        </w:rPr>
        <w:drawing>
          <wp:inline distT="0" distB="0" distL="0" distR="0" wp14:anchorId="400C21DA" wp14:editId="77962114">
            <wp:extent cx="5953125" cy="385762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53125" cy="3857625"/>
                    </a:xfrm>
                    <a:prstGeom prst="rect">
                      <a:avLst/>
                    </a:prstGeom>
                    <a:noFill/>
                    <a:ln>
                      <a:noFill/>
                    </a:ln>
                  </pic:spPr>
                </pic:pic>
              </a:graphicData>
            </a:graphic>
          </wp:inline>
        </w:drawing>
      </w:r>
    </w:p>
    <w:p w14:paraId="784CEF9E" w14:textId="133B011A" w:rsidR="008C4A07" w:rsidRDefault="003F3BBF" w:rsidP="00446026">
      <w:pPr>
        <w:ind w:firstLine="0"/>
        <w:rPr>
          <w:noProof/>
        </w:rPr>
      </w:pPr>
      <w:r w:rsidRPr="008C4A07">
        <w:rPr>
          <w:noProof/>
        </w:rPr>
        <w:lastRenderedPageBreak/>
        <w:drawing>
          <wp:inline distT="0" distB="0" distL="0" distR="0" wp14:anchorId="2C7B6CE8" wp14:editId="636E22D4">
            <wp:extent cx="5953125" cy="357187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53125" cy="3571875"/>
                    </a:xfrm>
                    <a:prstGeom prst="rect">
                      <a:avLst/>
                    </a:prstGeom>
                    <a:noFill/>
                    <a:ln>
                      <a:noFill/>
                    </a:ln>
                  </pic:spPr>
                </pic:pic>
              </a:graphicData>
            </a:graphic>
          </wp:inline>
        </w:drawing>
      </w:r>
    </w:p>
    <w:p w14:paraId="3A916B66" w14:textId="77777777" w:rsidR="00446026" w:rsidRPr="00446026" w:rsidRDefault="00446026" w:rsidP="00446026">
      <w:pPr>
        <w:ind w:firstLine="0"/>
        <w:rPr>
          <w:lang w:eastAsia="x-none"/>
        </w:rPr>
      </w:pPr>
    </w:p>
    <w:p w14:paraId="77D1EA37" w14:textId="77777777" w:rsidR="00446026" w:rsidRDefault="00446026" w:rsidP="00446026">
      <w:r>
        <w:t xml:space="preserve">V rámci hydrotechnických výpočtů byl stanoven návrhový průtok dešťových vod pro hydrologické povodí </w:t>
      </w:r>
      <w:r w:rsidR="00522F8F">
        <w:t xml:space="preserve">celé západní části historického centra Jihlavy, náležícího k uzávěrovému profilu povodí v místě napojení </w:t>
      </w:r>
      <w:r>
        <w:t>ulice Kosmákova</w:t>
      </w:r>
      <w:r w:rsidR="008C4A07">
        <w:t xml:space="preserve"> </w:t>
      </w:r>
      <w:r w:rsidR="00522F8F">
        <w:t>na Masarykovo náměstí, ze kterého bylo vyjmuto povodí odvodněné novou dešťovou kanalizací</w:t>
      </w:r>
      <w:r w:rsidR="006D0E1F">
        <w:t>, tedy oblast 1, 3, 4 a 5</w:t>
      </w:r>
      <w:r>
        <w:t xml:space="preserve">. </w:t>
      </w:r>
      <w:r w:rsidR="00522F8F">
        <w:t>Návrhový průtok činí 20,3+328,0+383,2 = 731,5 l/s.</w:t>
      </w:r>
    </w:p>
    <w:p w14:paraId="4B1328BB" w14:textId="77777777" w:rsidR="00446026" w:rsidRDefault="00446026" w:rsidP="00E03704">
      <w:pPr>
        <w:rPr>
          <w:iCs/>
        </w:rPr>
      </w:pPr>
      <w:r>
        <w:t>Dále byl v koordinaci s projektem „</w:t>
      </w:r>
      <w:r w:rsidRPr="004018FD">
        <w:rPr>
          <w:i/>
        </w:rPr>
        <w:t>Rekonstrukce VHI, včetně odvodnění na Masarykově náměstí v Jihlavě“</w:t>
      </w:r>
      <w:r>
        <w:rPr>
          <w:i/>
        </w:rPr>
        <w:t xml:space="preserve"> </w:t>
      </w:r>
      <w:r w:rsidRPr="004018FD">
        <w:rPr>
          <w:iCs/>
        </w:rPr>
        <w:t>a</w:t>
      </w:r>
      <w:r>
        <w:rPr>
          <w:iCs/>
        </w:rPr>
        <w:t xml:space="preserve"> na základě jednání se zástupci Odboru technických služeb Magistrátu města Jihlava stanoven návrhový dešťový průtok pro výhledový stav, kdy by došlo v západní části historického centra města Jihlavy, spadající z hydrologického hlediska stokové sítě do povodí ulice Kosmákova, k výstavbě oddílného kanalizačního systému</w:t>
      </w:r>
      <w:r w:rsidR="00E03704">
        <w:rPr>
          <w:iCs/>
        </w:rPr>
        <w:t xml:space="preserve"> </w:t>
      </w:r>
      <w:bookmarkStart w:id="41" w:name="_Hlk159420932"/>
      <w:r w:rsidR="00E03704">
        <w:rPr>
          <w:iCs/>
        </w:rPr>
        <w:t>(oblast 3 a 4)</w:t>
      </w:r>
      <w:bookmarkEnd w:id="41"/>
      <w:r w:rsidR="00522F8F">
        <w:rPr>
          <w:iCs/>
        </w:rPr>
        <w:t xml:space="preserve">. Návrhový průtok dešťových vod pro výhledový stav vychází dle varianty 2 (varianta s regulací odtoku ve výhledově budované retenční nádrži na ulici Palackého) pro jednotnou kanalizaci na </w:t>
      </w:r>
      <w:r w:rsidR="006D0E1F">
        <w:rPr>
          <w:iCs/>
        </w:rPr>
        <w:t>411,2</w:t>
      </w:r>
      <w:r w:rsidR="00522F8F">
        <w:rPr>
          <w:iCs/>
        </w:rPr>
        <w:t xml:space="preserve"> l/s. Výhledový stav je podrobně řešen v rámci projektové dokumentace „</w:t>
      </w:r>
      <w:r w:rsidR="00522F8F" w:rsidRPr="004018FD">
        <w:rPr>
          <w:i/>
        </w:rPr>
        <w:t>Rekonstrukce VHI, včetně odvodnění na Masarykově náměstí v Jihlavě“</w:t>
      </w:r>
      <w:r w:rsidR="00522F8F">
        <w:rPr>
          <w:i/>
        </w:rPr>
        <w:t>.</w:t>
      </w:r>
      <w:r>
        <w:rPr>
          <w:iCs/>
        </w:rPr>
        <w:t xml:space="preserve"> </w:t>
      </w:r>
    </w:p>
    <w:p w14:paraId="390E6560" w14:textId="77777777" w:rsidR="00F1421C" w:rsidRPr="00E03704" w:rsidRDefault="00F1421C" w:rsidP="00FF6EC7">
      <w:pPr>
        <w:pStyle w:val="Nadpis2"/>
      </w:pPr>
      <w:bookmarkStart w:id="42" w:name="_Toc199415722"/>
      <w:r w:rsidRPr="00E03704">
        <w:t>Posouzení kapacity kanalizačního potrubí:</w:t>
      </w:r>
      <w:bookmarkEnd w:id="42"/>
    </w:p>
    <w:p w14:paraId="7853ECBD" w14:textId="77777777" w:rsidR="002D6618" w:rsidRPr="002540DF" w:rsidRDefault="002D6618" w:rsidP="002D6618">
      <w:pPr>
        <w:ind w:firstLine="708"/>
      </w:pPr>
      <w:r w:rsidRPr="00E03704">
        <w:t xml:space="preserve">Pro celou řešenou část ulice byl stanovený návrhový průtok </w:t>
      </w:r>
      <w:r w:rsidR="00E03704" w:rsidRPr="00E03704">
        <w:t>731,5</w:t>
      </w:r>
      <w:r w:rsidRPr="00E03704">
        <w:t xml:space="preserve"> l/s, respektive </w:t>
      </w:r>
      <w:r w:rsidR="00E03704" w:rsidRPr="00E03704">
        <w:t>411,2</w:t>
      </w:r>
      <w:r w:rsidRPr="00E03704">
        <w:t xml:space="preserve"> l/s ve výhledu.</w:t>
      </w:r>
      <w:r w:rsidR="00E03704" w:rsidRPr="00E03704">
        <w:t xml:space="preserve"> Kapacita potrubí byla po projednání </w:t>
      </w:r>
      <w:r w:rsidR="00E03704" w:rsidRPr="00E03704">
        <w:rPr>
          <w:iCs/>
        </w:rPr>
        <w:t xml:space="preserve">se zástupci Odboru technických služeb Magistrátu města Jihlava, s ohledem na kapacitu navazujících úseku jednotné kanalizace a omezené prostorové podmínky v ulici Kosmákova navržena na výhledový stav, kdy největší profil potrubí byl volen DN600. </w:t>
      </w:r>
      <w:r w:rsidR="00E03704" w:rsidRPr="00E03704">
        <w:t>Výhledový</w:t>
      </w:r>
      <w:r w:rsidRPr="00E03704">
        <w:t xml:space="preserve"> průtok bez problému převede potrubí DN</w:t>
      </w:r>
      <w:r w:rsidR="00E03704" w:rsidRPr="00E03704">
        <w:t>6</w:t>
      </w:r>
      <w:r w:rsidRPr="00E03704">
        <w:t xml:space="preserve">00, které má v uzávěrovém profilu (přítok </w:t>
      </w:r>
      <w:r w:rsidRPr="002540DF">
        <w:t>do</w:t>
      </w:r>
      <w:r w:rsidR="001F7CF5">
        <w:t xml:space="preserve"> stávající</w:t>
      </w:r>
      <w:r w:rsidRPr="002540DF">
        <w:t xml:space="preserve"> šachty </w:t>
      </w:r>
      <w:r w:rsidR="001F7CF5">
        <w:t>na ulici Znojemská</w:t>
      </w:r>
      <w:r w:rsidRPr="002540DF">
        <w:t xml:space="preserve">) povodí kapacitu </w:t>
      </w:r>
      <w:r w:rsidR="005247C4">
        <w:t>1515,7</w:t>
      </w:r>
      <w:r w:rsidRPr="002540DF">
        <w:t xml:space="preserve"> l/s. Úseky kanalizace proti proudu mají taktéž </w:t>
      </w:r>
      <w:r w:rsidRPr="002540DF">
        <w:lastRenderedPageBreak/>
        <w:t>dostatečnou kapacitu pro převedení návrhového průtoku vztaženého k jejich povodí. Kapacitní průtoky jednotlivých úseků stok jsou přehledně uvedeny ve výkresu podélných profilů.</w:t>
      </w:r>
    </w:p>
    <w:sectPr w:rsidR="002D6618" w:rsidRPr="002540DF" w:rsidSect="00BC3F29">
      <w:headerReference w:type="default" r:id="rId15"/>
      <w:footerReference w:type="even" r:id="rId16"/>
      <w:footerReference w:type="default" r:id="rId17"/>
      <w:headerReference w:type="first" r:id="rId18"/>
      <w:footerReference w:type="first" r:id="rId19"/>
      <w:pgSz w:w="11906" w:h="16838"/>
      <w:pgMar w:top="1418" w:right="1106" w:bottom="1418" w:left="1418" w:header="709" w:footer="709"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004A1" w14:textId="77777777" w:rsidR="00BC3F29" w:rsidRDefault="00BC3F29">
      <w:r>
        <w:separator/>
      </w:r>
    </w:p>
  </w:endnote>
  <w:endnote w:type="continuationSeparator" w:id="0">
    <w:p w14:paraId="53EE9514" w14:textId="77777777" w:rsidR="00BC3F29" w:rsidRDefault="00BC3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EA37C" w14:textId="77777777" w:rsidR="00082F7A" w:rsidRDefault="00082F7A" w:rsidP="006C427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F12D131" w14:textId="77777777" w:rsidR="00082F7A" w:rsidRDefault="00082F7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C57DB" w14:textId="77777777" w:rsidR="00082F7A" w:rsidRDefault="00082F7A" w:rsidP="006C427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0413D">
      <w:rPr>
        <w:rStyle w:val="slostrnky"/>
        <w:noProof/>
      </w:rPr>
      <w:t>- 6 -</w:t>
    </w:r>
    <w:r>
      <w:rPr>
        <w:rStyle w:val="slostrnky"/>
      </w:rPr>
      <w:fldChar w:fldCharType="end"/>
    </w:r>
  </w:p>
  <w:p w14:paraId="21D32FFF" w14:textId="77777777" w:rsidR="00082F7A" w:rsidRDefault="00082F7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AE46A" w14:textId="77777777" w:rsidR="00082F7A" w:rsidRDefault="00082F7A" w:rsidP="006636E7">
    <w:pPr>
      <w:pStyle w:val="Zpat"/>
      <w:jc w:val="center"/>
    </w:pPr>
    <w:r>
      <w:rPr>
        <w:rStyle w:val="slostrnky"/>
      </w:rPr>
      <w:fldChar w:fldCharType="begin"/>
    </w:r>
    <w:r>
      <w:rPr>
        <w:rStyle w:val="slostrnky"/>
      </w:rPr>
      <w:instrText xml:space="preserve"> PAGE </w:instrText>
    </w:r>
    <w:r>
      <w:rPr>
        <w:rStyle w:val="slostrnky"/>
      </w:rPr>
      <w:fldChar w:fldCharType="separate"/>
    </w:r>
    <w:r>
      <w:rPr>
        <w:rStyle w:val="slostrnky"/>
        <w:noProof/>
      </w:rPr>
      <w:t>- 1 -</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2FEC0E" w14:textId="77777777" w:rsidR="00BC3F29" w:rsidRDefault="00BC3F29">
      <w:r>
        <w:separator/>
      </w:r>
    </w:p>
  </w:footnote>
  <w:footnote w:type="continuationSeparator" w:id="0">
    <w:p w14:paraId="73F97C31" w14:textId="77777777" w:rsidR="00BC3F29" w:rsidRDefault="00BC3F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F8F59" w14:textId="77777777" w:rsidR="00FF6EC7" w:rsidRDefault="00FF6EC7" w:rsidP="00E9068D">
    <w:pPr>
      <w:pStyle w:val="Zhlav"/>
      <w:pBdr>
        <w:bottom w:val="single" w:sz="4" w:space="1" w:color="808080"/>
      </w:pBdr>
      <w:spacing w:before="0" w:after="0"/>
      <w:ind w:firstLine="0"/>
      <w:rPr>
        <w:i/>
        <w:color w:val="808080"/>
        <w:u w:color="808080"/>
      </w:rPr>
    </w:pPr>
    <w:bookmarkStart w:id="43" w:name="_Toc109024982"/>
    <w:r w:rsidRPr="00805E11">
      <w:rPr>
        <w:i/>
        <w:color w:val="808080"/>
        <w:u w:color="808080"/>
      </w:rPr>
      <w:t>Obnova VHI v MPR – Obnova VHI v části ul. Kosmákova</w:t>
    </w:r>
  </w:p>
  <w:p w14:paraId="100B44F8" w14:textId="77777777" w:rsidR="002E5F15" w:rsidRDefault="00F05778" w:rsidP="00E9068D">
    <w:pPr>
      <w:pStyle w:val="Zhlav"/>
      <w:pBdr>
        <w:bottom w:val="single" w:sz="4" w:space="1" w:color="808080"/>
      </w:pBdr>
      <w:spacing w:before="0" w:after="0"/>
      <w:ind w:firstLine="0"/>
      <w:rPr>
        <w:i/>
        <w:color w:val="808080"/>
        <w:u w:color="808080"/>
      </w:rPr>
    </w:pPr>
    <w:r>
      <w:rPr>
        <w:i/>
        <w:color w:val="808080"/>
        <w:u w:color="808080"/>
      </w:rPr>
      <w:t>SO 02 Rekonstrukce jednotné kanalizace</w:t>
    </w:r>
  </w:p>
  <w:bookmarkEnd w:id="43"/>
  <w:p w14:paraId="1B619D69" w14:textId="77777777" w:rsidR="00A4568F" w:rsidRDefault="00F05778" w:rsidP="00E9068D">
    <w:pPr>
      <w:pStyle w:val="Zhlav"/>
      <w:pBdr>
        <w:bottom w:val="single" w:sz="4" w:space="1" w:color="808080"/>
      </w:pBdr>
      <w:spacing w:before="0" w:after="0"/>
      <w:ind w:firstLine="0"/>
      <w:rPr>
        <w:i/>
        <w:color w:val="808080"/>
        <w:u w:color="808080"/>
      </w:rPr>
    </w:pPr>
    <w:r>
      <w:rPr>
        <w:i/>
        <w:color w:val="808080"/>
        <w:u w:color="808080"/>
      </w:rPr>
      <w:t>SO 02a Rekonstrukce kanalizačních přípojek na veřejné části   D.2.1.</w:t>
    </w:r>
    <w:r w:rsidR="00A4568F" w:rsidRPr="006636E7">
      <w:rPr>
        <w:i/>
        <w:color w:val="808080"/>
        <w:u w:color="808080"/>
      </w:rPr>
      <w:t xml:space="preserve"> </w:t>
    </w:r>
    <w:r w:rsidR="00A4568F">
      <w:rPr>
        <w:i/>
        <w:color w:val="808080"/>
        <w:u w:color="808080"/>
      </w:rPr>
      <w:t>Technická</w:t>
    </w:r>
    <w:r w:rsidR="00A4568F" w:rsidRPr="006636E7">
      <w:rPr>
        <w:i/>
        <w:color w:val="808080"/>
        <w:u w:color="808080"/>
      </w:rPr>
      <w:t xml:space="preserve"> zpráva</w:t>
    </w:r>
  </w:p>
  <w:p w14:paraId="0AE08B48" w14:textId="77777777" w:rsidR="00980A58" w:rsidRPr="006636E7" w:rsidRDefault="00980A58" w:rsidP="00A4568F">
    <w:pPr>
      <w:pStyle w:val="Zhlav"/>
      <w:pBdr>
        <w:bottom w:val="single" w:sz="4" w:space="1" w:color="808080"/>
      </w:pBdr>
      <w:ind w:firstLine="0"/>
      <w:rPr>
        <w:i/>
        <w:color w:val="808080"/>
        <w:u w:color="80808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C73A7" w14:textId="77777777" w:rsidR="00082F7A" w:rsidRPr="006636E7" w:rsidRDefault="00082F7A" w:rsidP="006636E7">
    <w:pPr>
      <w:pStyle w:val="Zhlav"/>
      <w:pBdr>
        <w:bottom w:val="single" w:sz="4" w:space="1" w:color="808080"/>
      </w:pBdr>
      <w:rPr>
        <w:i/>
        <w:color w:val="808080"/>
        <w:u w:color="808080"/>
      </w:rPr>
    </w:pPr>
    <w:r>
      <w:rPr>
        <w:i/>
        <w:color w:val="808080"/>
        <w:u w:color="808080"/>
      </w:rPr>
      <w:t>MILAČKA v km 0,100 – 0,850</w:t>
    </w:r>
    <w:r w:rsidRPr="006636E7">
      <w:rPr>
        <w:i/>
        <w:color w:val="808080"/>
        <w:u w:color="808080"/>
      </w:rPr>
      <w:tab/>
    </w:r>
    <w:r w:rsidRPr="006636E7">
      <w:rPr>
        <w:i/>
        <w:color w:val="808080"/>
        <w:u w:color="808080"/>
      </w:rPr>
      <w:tab/>
      <w:t>A. Průvodní zpráva</w:t>
    </w:r>
  </w:p>
  <w:p w14:paraId="023D9EF8" w14:textId="77777777" w:rsidR="00082F7A" w:rsidRDefault="00082F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9D6E83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762355681" o:spid="_x0000_i1025" type="#_x0000_t75" style="width:9pt;height:9pt;visibility:visible;mso-wrap-style:square">
            <v:imagedata r:id="rId1" o:title=""/>
          </v:shape>
        </w:pict>
      </mc:Choice>
      <mc:Fallback>
        <w:drawing>
          <wp:inline distT="0" distB="0" distL="0" distR="0" wp14:anchorId="331CFEFE">
            <wp:extent cx="114300" cy="114300"/>
            <wp:effectExtent l="0" t="0" r="0" b="0"/>
            <wp:docPr id="1762355681" name="Obrázek 1762355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mc:Fallback>
    </mc:AlternateContent>
  </w:numPicBullet>
  <w:abstractNum w:abstractNumId="0" w15:restartNumberingAfterBreak="0">
    <w:nsid w:val="07B279EA"/>
    <w:multiLevelType w:val="hybridMultilevel"/>
    <w:tmpl w:val="673E4C62"/>
    <w:lvl w:ilvl="0" w:tplc="EF30AAF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2B3668"/>
    <w:multiLevelType w:val="multilevel"/>
    <w:tmpl w:val="9786568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Letter"/>
      <w:pStyle w:val="Nadpis3"/>
      <w:lvlText w:val="%3)"/>
      <w:lvlJc w:val="right"/>
      <w:pPr>
        <w:ind w:left="1021" w:hanging="17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23DF5818"/>
    <w:multiLevelType w:val="singleLevel"/>
    <w:tmpl w:val="C856260E"/>
    <w:lvl w:ilvl="0">
      <w:start w:val="1"/>
      <w:numFmt w:val="bullet"/>
      <w:lvlText w:val="-"/>
      <w:lvlJc w:val="left"/>
      <w:pPr>
        <w:tabs>
          <w:tab w:val="num" w:pos="360"/>
        </w:tabs>
        <w:ind w:left="360" w:hanging="360"/>
      </w:pPr>
    </w:lvl>
  </w:abstractNum>
  <w:abstractNum w:abstractNumId="3" w15:restartNumberingAfterBreak="0">
    <w:nsid w:val="30364D37"/>
    <w:multiLevelType w:val="hybridMultilevel"/>
    <w:tmpl w:val="0C34A81A"/>
    <w:lvl w:ilvl="0" w:tplc="04050001">
      <w:start w:val="1"/>
      <w:numFmt w:val="bullet"/>
      <w:lvlText w:val=""/>
      <w:lvlJc w:val="left"/>
      <w:pPr>
        <w:ind w:left="1260" w:hanging="360"/>
      </w:pPr>
      <w:rPr>
        <w:rFonts w:ascii="Symbol" w:hAnsi="Symbol"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4" w15:restartNumberingAfterBreak="0">
    <w:nsid w:val="384E4D27"/>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5" w15:restartNumberingAfterBreak="0">
    <w:nsid w:val="427C4FCF"/>
    <w:multiLevelType w:val="multilevel"/>
    <w:tmpl w:val="07BE3DCE"/>
    <w:lvl w:ilvl="0">
      <w:start w:val="1"/>
      <w:numFmt w:val="decimal"/>
      <w:lvlText w:val="%1."/>
      <w:lvlJc w:val="left"/>
      <w:pPr>
        <w:ind w:left="360" w:hanging="360"/>
      </w:pPr>
      <w:rPr>
        <w:rFonts w:hint="default"/>
      </w:rPr>
    </w:lvl>
    <w:lvl w:ilvl="1">
      <w:start w:val="1"/>
      <w:numFmt w:val="decimal"/>
      <w:lvlText w:val="B.%1.%2."/>
      <w:lvlJc w:val="left"/>
      <w:pPr>
        <w:ind w:left="576" w:hanging="576"/>
      </w:pPr>
      <w:rPr>
        <w:rFonts w:hint="default"/>
      </w:rPr>
    </w:lvl>
    <w:lvl w:ilvl="2">
      <w:start w:val="1"/>
      <w:numFmt w:val="none"/>
      <w:lvlText w:val="a"/>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48616569"/>
    <w:multiLevelType w:val="hybridMultilevel"/>
    <w:tmpl w:val="939C3E3A"/>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8A242AD"/>
    <w:multiLevelType w:val="hybridMultilevel"/>
    <w:tmpl w:val="A80433A4"/>
    <w:lvl w:ilvl="0" w:tplc="2CFE8EE4">
      <w:start w:val="1"/>
      <w:numFmt w:val="decimal"/>
      <w:lvlText w:val="D.%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8B22461"/>
    <w:multiLevelType w:val="hybridMultilevel"/>
    <w:tmpl w:val="9BF45D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F5A119F"/>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A85186A"/>
    <w:multiLevelType w:val="multilevel"/>
    <w:tmpl w:val="AB52D72A"/>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1" w15:restartNumberingAfterBreak="0">
    <w:nsid w:val="7B2873F6"/>
    <w:multiLevelType w:val="singleLevel"/>
    <w:tmpl w:val="CF4669FC"/>
    <w:lvl w:ilvl="0">
      <w:start w:val="1"/>
      <w:numFmt w:val="bullet"/>
      <w:lvlText w:val=""/>
      <w:lvlJc w:val="left"/>
      <w:pPr>
        <w:tabs>
          <w:tab w:val="num" w:pos="360"/>
        </w:tabs>
        <w:ind w:left="360" w:hanging="360"/>
      </w:pPr>
      <w:rPr>
        <w:rFonts w:ascii="Symbol" w:hAnsi="Symbol" w:hint="default"/>
      </w:rPr>
    </w:lvl>
  </w:abstractNum>
  <w:num w:numId="1" w16cid:durableId="698893693">
    <w:abstractNumId w:val="5"/>
  </w:num>
  <w:num w:numId="2" w16cid:durableId="568925721">
    <w:abstractNumId w:val="1"/>
  </w:num>
  <w:num w:numId="3" w16cid:durableId="1518078757">
    <w:abstractNumId w:val="1"/>
    <w:lvlOverride w:ilvl="0">
      <w:startOverride w:val="1"/>
    </w:lvlOverride>
  </w:num>
  <w:num w:numId="4" w16cid:durableId="839270388">
    <w:abstractNumId w:val="1"/>
    <w:lvlOverride w:ilvl="0">
      <w:startOverride w:val="1"/>
    </w:lvlOverride>
  </w:num>
  <w:num w:numId="5" w16cid:durableId="608440116">
    <w:abstractNumId w:val="1"/>
    <w:lvlOverride w:ilvl="0">
      <w:startOverride w:val="1"/>
    </w:lvlOverride>
  </w:num>
  <w:num w:numId="6" w16cid:durableId="1769496637">
    <w:abstractNumId w:val="1"/>
    <w:lvlOverride w:ilvl="0">
      <w:startOverride w:val="1"/>
    </w:lvlOverride>
  </w:num>
  <w:num w:numId="7" w16cid:durableId="1588805506">
    <w:abstractNumId w:val="1"/>
    <w:lvlOverride w:ilvl="0">
      <w:startOverride w:val="1"/>
    </w:lvlOverride>
  </w:num>
  <w:num w:numId="8" w16cid:durableId="647831140">
    <w:abstractNumId w:val="1"/>
  </w:num>
  <w:num w:numId="9" w16cid:durableId="279652793">
    <w:abstractNumId w:val="1"/>
    <w:lvlOverride w:ilvl="0">
      <w:startOverride w:val="1"/>
    </w:lvlOverride>
  </w:num>
  <w:num w:numId="10" w16cid:durableId="1538808754">
    <w:abstractNumId w:val="1"/>
  </w:num>
  <w:num w:numId="11" w16cid:durableId="2015567191">
    <w:abstractNumId w:val="1"/>
  </w:num>
  <w:num w:numId="12" w16cid:durableId="1513377003">
    <w:abstractNumId w:val="1"/>
  </w:num>
  <w:num w:numId="13" w16cid:durableId="174079465">
    <w:abstractNumId w:val="1"/>
  </w:num>
  <w:num w:numId="14" w16cid:durableId="1131750235">
    <w:abstractNumId w:val="1"/>
    <w:lvlOverride w:ilvl="0">
      <w:startOverride w:val="1"/>
    </w:lvlOverride>
  </w:num>
  <w:num w:numId="15" w16cid:durableId="50277371">
    <w:abstractNumId w:val="1"/>
  </w:num>
  <w:num w:numId="16" w16cid:durableId="118301603">
    <w:abstractNumId w:val="1"/>
  </w:num>
  <w:num w:numId="17" w16cid:durableId="1740447158">
    <w:abstractNumId w:val="1"/>
  </w:num>
  <w:num w:numId="18" w16cid:durableId="339043099">
    <w:abstractNumId w:val="1"/>
  </w:num>
  <w:num w:numId="19" w16cid:durableId="1131826985">
    <w:abstractNumId w:val="1"/>
  </w:num>
  <w:num w:numId="20" w16cid:durableId="570233301">
    <w:abstractNumId w:val="1"/>
  </w:num>
  <w:num w:numId="21" w16cid:durableId="1256785873">
    <w:abstractNumId w:val="1"/>
  </w:num>
  <w:num w:numId="22" w16cid:durableId="402609523">
    <w:abstractNumId w:val="1"/>
  </w:num>
  <w:num w:numId="23" w16cid:durableId="1689718433">
    <w:abstractNumId w:val="1"/>
  </w:num>
  <w:num w:numId="24" w16cid:durableId="2028674577">
    <w:abstractNumId w:val="1"/>
  </w:num>
  <w:num w:numId="25" w16cid:durableId="482890753">
    <w:abstractNumId w:val="1"/>
  </w:num>
  <w:num w:numId="26" w16cid:durableId="1992322716">
    <w:abstractNumId w:val="0"/>
  </w:num>
  <w:num w:numId="27" w16cid:durableId="655646081">
    <w:abstractNumId w:val="3"/>
  </w:num>
  <w:num w:numId="28" w16cid:durableId="1697972403">
    <w:abstractNumId w:val="11"/>
  </w:num>
  <w:num w:numId="29" w16cid:durableId="114326137">
    <w:abstractNumId w:val="2"/>
  </w:num>
  <w:num w:numId="30" w16cid:durableId="1038117570">
    <w:abstractNumId w:val="4"/>
  </w:num>
  <w:num w:numId="31" w16cid:durableId="1504513791">
    <w:abstractNumId w:val="9"/>
  </w:num>
  <w:num w:numId="32" w16cid:durableId="71199329">
    <w:abstractNumId w:val="10"/>
  </w:num>
  <w:num w:numId="33" w16cid:durableId="1579292540">
    <w:abstractNumId w:val="8"/>
  </w:num>
  <w:num w:numId="34" w16cid:durableId="421528784">
    <w:abstractNumId w:val="6"/>
  </w:num>
  <w:num w:numId="35" w16cid:durableId="1161969960">
    <w:abstractNumId w:val="7"/>
  </w:num>
  <w:num w:numId="36" w16cid:durableId="15207759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870909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CCE"/>
    <w:rsid w:val="00001A5F"/>
    <w:rsid w:val="00001D37"/>
    <w:rsid w:val="0000452F"/>
    <w:rsid w:val="000049F6"/>
    <w:rsid w:val="00007F91"/>
    <w:rsid w:val="000124BB"/>
    <w:rsid w:val="00012D75"/>
    <w:rsid w:val="0001679A"/>
    <w:rsid w:val="00017A46"/>
    <w:rsid w:val="00021A90"/>
    <w:rsid w:val="00023496"/>
    <w:rsid w:val="00026BE3"/>
    <w:rsid w:val="000321C7"/>
    <w:rsid w:val="000348AD"/>
    <w:rsid w:val="00035465"/>
    <w:rsid w:val="00035BED"/>
    <w:rsid w:val="000375CF"/>
    <w:rsid w:val="00040133"/>
    <w:rsid w:val="00040ED3"/>
    <w:rsid w:val="00042257"/>
    <w:rsid w:val="00043166"/>
    <w:rsid w:val="0004516A"/>
    <w:rsid w:val="00045467"/>
    <w:rsid w:val="00045ABD"/>
    <w:rsid w:val="00045B81"/>
    <w:rsid w:val="000460F6"/>
    <w:rsid w:val="00046BA0"/>
    <w:rsid w:val="000475E8"/>
    <w:rsid w:val="00047D7C"/>
    <w:rsid w:val="00054C2B"/>
    <w:rsid w:val="000551D5"/>
    <w:rsid w:val="00055B67"/>
    <w:rsid w:val="00055E8E"/>
    <w:rsid w:val="000565D9"/>
    <w:rsid w:val="00057AF3"/>
    <w:rsid w:val="000607BD"/>
    <w:rsid w:val="0006086D"/>
    <w:rsid w:val="00060BA7"/>
    <w:rsid w:val="000619A1"/>
    <w:rsid w:val="00062561"/>
    <w:rsid w:val="000665EE"/>
    <w:rsid w:val="000713D0"/>
    <w:rsid w:val="000719CB"/>
    <w:rsid w:val="000727E9"/>
    <w:rsid w:val="0007322B"/>
    <w:rsid w:val="00073977"/>
    <w:rsid w:val="00076AFA"/>
    <w:rsid w:val="0007706A"/>
    <w:rsid w:val="00082F7A"/>
    <w:rsid w:val="000830D2"/>
    <w:rsid w:val="0008717C"/>
    <w:rsid w:val="00087C32"/>
    <w:rsid w:val="00090294"/>
    <w:rsid w:val="0009084D"/>
    <w:rsid w:val="00091824"/>
    <w:rsid w:val="00092DFB"/>
    <w:rsid w:val="00093C93"/>
    <w:rsid w:val="00094655"/>
    <w:rsid w:val="00097567"/>
    <w:rsid w:val="000A0F41"/>
    <w:rsid w:val="000A1F58"/>
    <w:rsid w:val="000A3D0A"/>
    <w:rsid w:val="000A3E3D"/>
    <w:rsid w:val="000A5947"/>
    <w:rsid w:val="000B00E8"/>
    <w:rsid w:val="000C2ED6"/>
    <w:rsid w:val="000C403D"/>
    <w:rsid w:val="000C4650"/>
    <w:rsid w:val="000C4971"/>
    <w:rsid w:val="000C549C"/>
    <w:rsid w:val="000C616C"/>
    <w:rsid w:val="000C65DA"/>
    <w:rsid w:val="000C6A45"/>
    <w:rsid w:val="000D0AD6"/>
    <w:rsid w:val="000D1705"/>
    <w:rsid w:val="000D2044"/>
    <w:rsid w:val="000E143F"/>
    <w:rsid w:val="000E2F35"/>
    <w:rsid w:val="000E4ACE"/>
    <w:rsid w:val="000E5BC4"/>
    <w:rsid w:val="000F1CE5"/>
    <w:rsid w:val="000F4920"/>
    <w:rsid w:val="000F6C6A"/>
    <w:rsid w:val="000F7D8B"/>
    <w:rsid w:val="00101122"/>
    <w:rsid w:val="0010117C"/>
    <w:rsid w:val="00101FDF"/>
    <w:rsid w:val="001032A7"/>
    <w:rsid w:val="001035BE"/>
    <w:rsid w:val="001047B8"/>
    <w:rsid w:val="00106AD2"/>
    <w:rsid w:val="001122E3"/>
    <w:rsid w:val="001169D1"/>
    <w:rsid w:val="001201CD"/>
    <w:rsid w:val="00121270"/>
    <w:rsid w:val="00121D63"/>
    <w:rsid w:val="0012329F"/>
    <w:rsid w:val="0012527E"/>
    <w:rsid w:val="00125ADD"/>
    <w:rsid w:val="001273DE"/>
    <w:rsid w:val="00127545"/>
    <w:rsid w:val="00131191"/>
    <w:rsid w:val="00133712"/>
    <w:rsid w:val="001349C0"/>
    <w:rsid w:val="00134EA9"/>
    <w:rsid w:val="00135D30"/>
    <w:rsid w:val="00140511"/>
    <w:rsid w:val="00140F35"/>
    <w:rsid w:val="00142A4D"/>
    <w:rsid w:val="00144110"/>
    <w:rsid w:val="0014469B"/>
    <w:rsid w:val="001528BA"/>
    <w:rsid w:val="00155C07"/>
    <w:rsid w:val="00156571"/>
    <w:rsid w:val="00162C7A"/>
    <w:rsid w:val="00166783"/>
    <w:rsid w:val="00166B3A"/>
    <w:rsid w:val="001675CE"/>
    <w:rsid w:val="001714B4"/>
    <w:rsid w:val="00171BB9"/>
    <w:rsid w:val="001732DB"/>
    <w:rsid w:val="00173AF6"/>
    <w:rsid w:val="00174204"/>
    <w:rsid w:val="00175777"/>
    <w:rsid w:val="001757AF"/>
    <w:rsid w:val="001773A8"/>
    <w:rsid w:val="00180B4F"/>
    <w:rsid w:val="00184B98"/>
    <w:rsid w:val="001854ED"/>
    <w:rsid w:val="00185610"/>
    <w:rsid w:val="001856D3"/>
    <w:rsid w:val="0019005E"/>
    <w:rsid w:val="001920BB"/>
    <w:rsid w:val="0019274A"/>
    <w:rsid w:val="00192B0B"/>
    <w:rsid w:val="00193150"/>
    <w:rsid w:val="00194C82"/>
    <w:rsid w:val="00196331"/>
    <w:rsid w:val="00196D7B"/>
    <w:rsid w:val="001A0383"/>
    <w:rsid w:val="001A399D"/>
    <w:rsid w:val="001A4009"/>
    <w:rsid w:val="001A562E"/>
    <w:rsid w:val="001A6205"/>
    <w:rsid w:val="001A7115"/>
    <w:rsid w:val="001B2B8B"/>
    <w:rsid w:val="001B3631"/>
    <w:rsid w:val="001B3A8C"/>
    <w:rsid w:val="001B4273"/>
    <w:rsid w:val="001B5832"/>
    <w:rsid w:val="001B652F"/>
    <w:rsid w:val="001B6B55"/>
    <w:rsid w:val="001B733C"/>
    <w:rsid w:val="001B75D1"/>
    <w:rsid w:val="001C03F6"/>
    <w:rsid w:val="001C11FA"/>
    <w:rsid w:val="001C34FB"/>
    <w:rsid w:val="001C5591"/>
    <w:rsid w:val="001C5853"/>
    <w:rsid w:val="001C686F"/>
    <w:rsid w:val="001C6C33"/>
    <w:rsid w:val="001C78C9"/>
    <w:rsid w:val="001C794A"/>
    <w:rsid w:val="001D045F"/>
    <w:rsid w:val="001D4462"/>
    <w:rsid w:val="001D4E86"/>
    <w:rsid w:val="001D517F"/>
    <w:rsid w:val="001D5C8D"/>
    <w:rsid w:val="001E03A4"/>
    <w:rsid w:val="001E074F"/>
    <w:rsid w:val="001E24CF"/>
    <w:rsid w:val="001E2A04"/>
    <w:rsid w:val="001E2C2E"/>
    <w:rsid w:val="001F05B5"/>
    <w:rsid w:val="001F1109"/>
    <w:rsid w:val="001F1D41"/>
    <w:rsid w:val="001F4B3A"/>
    <w:rsid w:val="001F5F07"/>
    <w:rsid w:val="001F63CA"/>
    <w:rsid w:val="001F7130"/>
    <w:rsid w:val="001F7230"/>
    <w:rsid w:val="001F7CF5"/>
    <w:rsid w:val="001F7FDC"/>
    <w:rsid w:val="0020316B"/>
    <w:rsid w:val="00203A2D"/>
    <w:rsid w:val="0021082B"/>
    <w:rsid w:val="0021101F"/>
    <w:rsid w:val="00211AEC"/>
    <w:rsid w:val="00214CC4"/>
    <w:rsid w:val="00217BD1"/>
    <w:rsid w:val="002233B0"/>
    <w:rsid w:val="00226035"/>
    <w:rsid w:val="00226859"/>
    <w:rsid w:val="00227DF2"/>
    <w:rsid w:val="0023073D"/>
    <w:rsid w:val="0023215E"/>
    <w:rsid w:val="00233FE9"/>
    <w:rsid w:val="002356C5"/>
    <w:rsid w:val="00237926"/>
    <w:rsid w:val="00237AA2"/>
    <w:rsid w:val="00240014"/>
    <w:rsid w:val="00240AED"/>
    <w:rsid w:val="00240EDA"/>
    <w:rsid w:val="002415C6"/>
    <w:rsid w:val="00241DC7"/>
    <w:rsid w:val="00241FE1"/>
    <w:rsid w:val="0024574F"/>
    <w:rsid w:val="0025010C"/>
    <w:rsid w:val="00251F14"/>
    <w:rsid w:val="00252595"/>
    <w:rsid w:val="002540DF"/>
    <w:rsid w:val="00254B31"/>
    <w:rsid w:val="00256E5B"/>
    <w:rsid w:val="00257FE2"/>
    <w:rsid w:val="00257FE4"/>
    <w:rsid w:val="00261046"/>
    <w:rsid w:val="00262843"/>
    <w:rsid w:val="00263380"/>
    <w:rsid w:val="00263E84"/>
    <w:rsid w:val="0026783E"/>
    <w:rsid w:val="00270782"/>
    <w:rsid w:val="0027164E"/>
    <w:rsid w:val="00271C75"/>
    <w:rsid w:val="00272222"/>
    <w:rsid w:val="002747B2"/>
    <w:rsid w:val="002756FE"/>
    <w:rsid w:val="002763CA"/>
    <w:rsid w:val="00276C26"/>
    <w:rsid w:val="002805CF"/>
    <w:rsid w:val="002815E7"/>
    <w:rsid w:val="00281A0F"/>
    <w:rsid w:val="00283E10"/>
    <w:rsid w:val="00284AAB"/>
    <w:rsid w:val="00284E52"/>
    <w:rsid w:val="0028758E"/>
    <w:rsid w:val="00287BFA"/>
    <w:rsid w:val="00287C32"/>
    <w:rsid w:val="00293A79"/>
    <w:rsid w:val="002942F8"/>
    <w:rsid w:val="00297BAA"/>
    <w:rsid w:val="00297C81"/>
    <w:rsid w:val="002A05C8"/>
    <w:rsid w:val="002A2508"/>
    <w:rsid w:val="002A44E9"/>
    <w:rsid w:val="002A4E4C"/>
    <w:rsid w:val="002A7926"/>
    <w:rsid w:val="002A7F45"/>
    <w:rsid w:val="002B20D9"/>
    <w:rsid w:val="002B3B79"/>
    <w:rsid w:val="002B3C2E"/>
    <w:rsid w:val="002B3E17"/>
    <w:rsid w:val="002B6846"/>
    <w:rsid w:val="002C07F8"/>
    <w:rsid w:val="002C1CC7"/>
    <w:rsid w:val="002C1D85"/>
    <w:rsid w:val="002C5BC4"/>
    <w:rsid w:val="002C6AB0"/>
    <w:rsid w:val="002D0297"/>
    <w:rsid w:val="002D391B"/>
    <w:rsid w:val="002D3F94"/>
    <w:rsid w:val="002D4F8D"/>
    <w:rsid w:val="002D6618"/>
    <w:rsid w:val="002E0CF5"/>
    <w:rsid w:val="002E570E"/>
    <w:rsid w:val="002E5E2F"/>
    <w:rsid w:val="002E5F15"/>
    <w:rsid w:val="002E7BE0"/>
    <w:rsid w:val="002F2805"/>
    <w:rsid w:val="002F3456"/>
    <w:rsid w:val="002F4038"/>
    <w:rsid w:val="002F54BC"/>
    <w:rsid w:val="002F5872"/>
    <w:rsid w:val="002F5BF6"/>
    <w:rsid w:val="002F76F3"/>
    <w:rsid w:val="002F77D1"/>
    <w:rsid w:val="002F78EA"/>
    <w:rsid w:val="00300048"/>
    <w:rsid w:val="00301ACA"/>
    <w:rsid w:val="003020A0"/>
    <w:rsid w:val="00302881"/>
    <w:rsid w:val="00303371"/>
    <w:rsid w:val="00303C60"/>
    <w:rsid w:val="00304925"/>
    <w:rsid w:val="003079DD"/>
    <w:rsid w:val="003106CE"/>
    <w:rsid w:val="00312F75"/>
    <w:rsid w:val="00315954"/>
    <w:rsid w:val="00317498"/>
    <w:rsid w:val="003174E5"/>
    <w:rsid w:val="00321DA6"/>
    <w:rsid w:val="003224F4"/>
    <w:rsid w:val="0032326A"/>
    <w:rsid w:val="003279A8"/>
    <w:rsid w:val="0033035F"/>
    <w:rsid w:val="00331099"/>
    <w:rsid w:val="00332E02"/>
    <w:rsid w:val="00336186"/>
    <w:rsid w:val="003368B3"/>
    <w:rsid w:val="00340E49"/>
    <w:rsid w:val="00345A98"/>
    <w:rsid w:val="00350F67"/>
    <w:rsid w:val="003513C3"/>
    <w:rsid w:val="00351BBF"/>
    <w:rsid w:val="003522C9"/>
    <w:rsid w:val="00353175"/>
    <w:rsid w:val="003546D2"/>
    <w:rsid w:val="003557CE"/>
    <w:rsid w:val="00365A0D"/>
    <w:rsid w:val="00366126"/>
    <w:rsid w:val="00367E36"/>
    <w:rsid w:val="00372402"/>
    <w:rsid w:val="0037629E"/>
    <w:rsid w:val="00383F43"/>
    <w:rsid w:val="003875E5"/>
    <w:rsid w:val="003A0D6E"/>
    <w:rsid w:val="003B1D54"/>
    <w:rsid w:val="003B20FC"/>
    <w:rsid w:val="003B6DF2"/>
    <w:rsid w:val="003C359A"/>
    <w:rsid w:val="003C444F"/>
    <w:rsid w:val="003C4F15"/>
    <w:rsid w:val="003D14DD"/>
    <w:rsid w:val="003D544B"/>
    <w:rsid w:val="003D5994"/>
    <w:rsid w:val="003D5D5B"/>
    <w:rsid w:val="003D6C33"/>
    <w:rsid w:val="003D7FEA"/>
    <w:rsid w:val="003E1137"/>
    <w:rsid w:val="003E5B25"/>
    <w:rsid w:val="003E6698"/>
    <w:rsid w:val="003E7A0D"/>
    <w:rsid w:val="003F08B9"/>
    <w:rsid w:val="003F2B16"/>
    <w:rsid w:val="003F3BBF"/>
    <w:rsid w:val="003F5473"/>
    <w:rsid w:val="00401627"/>
    <w:rsid w:val="004036A3"/>
    <w:rsid w:val="00410D03"/>
    <w:rsid w:val="00411BAE"/>
    <w:rsid w:val="00417736"/>
    <w:rsid w:val="0042315C"/>
    <w:rsid w:val="004254F4"/>
    <w:rsid w:val="00426FFF"/>
    <w:rsid w:val="004309D2"/>
    <w:rsid w:val="0043236C"/>
    <w:rsid w:val="0044273A"/>
    <w:rsid w:val="00442AE1"/>
    <w:rsid w:val="004451F2"/>
    <w:rsid w:val="0044555A"/>
    <w:rsid w:val="0044599F"/>
    <w:rsid w:val="00446026"/>
    <w:rsid w:val="00446A21"/>
    <w:rsid w:val="004479BD"/>
    <w:rsid w:val="0045079C"/>
    <w:rsid w:val="0045556A"/>
    <w:rsid w:val="00455772"/>
    <w:rsid w:val="004559E0"/>
    <w:rsid w:val="00456A6F"/>
    <w:rsid w:val="004612E2"/>
    <w:rsid w:val="00463D47"/>
    <w:rsid w:val="0046524D"/>
    <w:rsid w:val="00473121"/>
    <w:rsid w:val="0047467A"/>
    <w:rsid w:val="00474BB8"/>
    <w:rsid w:val="004773C3"/>
    <w:rsid w:val="00487B93"/>
    <w:rsid w:val="00487C88"/>
    <w:rsid w:val="004908DB"/>
    <w:rsid w:val="00490BA8"/>
    <w:rsid w:val="004A2BA3"/>
    <w:rsid w:val="004A578A"/>
    <w:rsid w:val="004A5F55"/>
    <w:rsid w:val="004B09DF"/>
    <w:rsid w:val="004B1616"/>
    <w:rsid w:val="004B2810"/>
    <w:rsid w:val="004B28D2"/>
    <w:rsid w:val="004B623A"/>
    <w:rsid w:val="004C0606"/>
    <w:rsid w:val="004C1745"/>
    <w:rsid w:val="004C1D23"/>
    <w:rsid w:val="004C2B46"/>
    <w:rsid w:val="004C35AA"/>
    <w:rsid w:val="004C377C"/>
    <w:rsid w:val="004C6CD9"/>
    <w:rsid w:val="004C7246"/>
    <w:rsid w:val="004D0AA9"/>
    <w:rsid w:val="004D116D"/>
    <w:rsid w:val="004D1449"/>
    <w:rsid w:val="004D5472"/>
    <w:rsid w:val="004D56DC"/>
    <w:rsid w:val="004D77A8"/>
    <w:rsid w:val="004E026B"/>
    <w:rsid w:val="004E3CD3"/>
    <w:rsid w:val="004E3ED3"/>
    <w:rsid w:val="004F0EAE"/>
    <w:rsid w:val="004F1B99"/>
    <w:rsid w:val="004F284C"/>
    <w:rsid w:val="004F43D0"/>
    <w:rsid w:val="004F454D"/>
    <w:rsid w:val="004F6A87"/>
    <w:rsid w:val="004F7305"/>
    <w:rsid w:val="004F7E15"/>
    <w:rsid w:val="00502B3E"/>
    <w:rsid w:val="00502B6E"/>
    <w:rsid w:val="005031B9"/>
    <w:rsid w:val="005047B6"/>
    <w:rsid w:val="005051F3"/>
    <w:rsid w:val="00507327"/>
    <w:rsid w:val="005110A0"/>
    <w:rsid w:val="005116E7"/>
    <w:rsid w:val="00515663"/>
    <w:rsid w:val="005165E3"/>
    <w:rsid w:val="00522F8F"/>
    <w:rsid w:val="005231DC"/>
    <w:rsid w:val="005244F3"/>
    <w:rsid w:val="005247C4"/>
    <w:rsid w:val="00526CE9"/>
    <w:rsid w:val="00526E96"/>
    <w:rsid w:val="005323E8"/>
    <w:rsid w:val="00534265"/>
    <w:rsid w:val="0053630C"/>
    <w:rsid w:val="00537DB7"/>
    <w:rsid w:val="005413B4"/>
    <w:rsid w:val="0054486B"/>
    <w:rsid w:val="00546D5F"/>
    <w:rsid w:val="00551A78"/>
    <w:rsid w:val="005538BF"/>
    <w:rsid w:val="005565F3"/>
    <w:rsid w:val="005578B5"/>
    <w:rsid w:val="005612A2"/>
    <w:rsid w:val="00561FB7"/>
    <w:rsid w:val="005634E0"/>
    <w:rsid w:val="00570FE6"/>
    <w:rsid w:val="005726E9"/>
    <w:rsid w:val="005735C7"/>
    <w:rsid w:val="00575812"/>
    <w:rsid w:val="00576929"/>
    <w:rsid w:val="0058081E"/>
    <w:rsid w:val="005820E1"/>
    <w:rsid w:val="00583A24"/>
    <w:rsid w:val="00583A86"/>
    <w:rsid w:val="00585532"/>
    <w:rsid w:val="0058587E"/>
    <w:rsid w:val="0058626F"/>
    <w:rsid w:val="00591125"/>
    <w:rsid w:val="00592B2D"/>
    <w:rsid w:val="00592FE5"/>
    <w:rsid w:val="00597202"/>
    <w:rsid w:val="005A116D"/>
    <w:rsid w:val="005A23AD"/>
    <w:rsid w:val="005A2454"/>
    <w:rsid w:val="005A287C"/>
    <w:rsid w:val="005A2AC2"/>
    <w:rsid w:val="005A35D0"/>
    <w:rsid w:val="005A3EBD"/>
    <w:rsid w:val="005A4C95"/>
    <w:rsid w:val="005A5034"/>
    <w:rsid w:val="005A763F"/>
    <w:rsid w:val="005A77A4"/>
    <w:rsid w:val="005B0FA8"/>
    <w:rsid w:val="005B26E0"/>
    <w:rsid w:val="005B3791"/>
    <w:rsid w:val="005B4808"/>
    <w:rsid w:val="005C06C5"/>
    <w:rsid w:val="005C08BC"/>
    <w:rsid w:val="005C4DDF"/>
    <w:rsid w:val="005D1480"/>
    <w:rsid w:val="005D18EF"/>
    <w:rsid w:val="005D2178"/>
    <w:rsid w:val="005D3D17"/>
    <w:rsid w:val="005D48D5"/>
    <w:rsid w:val="005D5DB6"/>
    <w:rsid w:val="005D77C9"/>
    <w:rsid w:val="005E3590"/>
    <w:rsid w:val="005E5FDE"/>
    <w:rsid w:val="005F04D9"/>
    <w:rsid w:val="005F2021"/>
    <w:rsid w:val="005F3F2F"/>
    <w:rsid w:val="005F7F25"/>
    <w:rsid w:val="0060067E"/>
    <w:rsid w:val="00601852"/>
    <w:rsid w:val="00601F17"/>
    <w:rsid w:val="00606CF6"/>
    <w:rsid w:val="00610887"/>
    <w:rsid w:val="0061092C"/>
    <w:rsid w:val="00611B79"/>
    <w:rsid w:val="00615B28"/>
    <w:rsid w:val="00624E6F"/>
    <w:rsid w:val="00624E80"/>
    <w:rsid w:val="00625388"/>
    <w:rsid w:val="00631EBE"/>
    <w:rsid w:val="00645D7A"/>
    <w:rsid w:val="006465C9"/>
    <w:rsid w:val="00651F2A"/>
    <w:rsid w:val="00651FAE"/>
    <w:rsid w:val="00653AD8"/>
    <w:rsid w:val="00654AA5"/>
    <w:rsid w:val="00654E6A"/>
    <w:rsid w:val="00655D33"/>
    <w:rsid w:val="00655E53"/>
    <w:rsid w:val="0065638F"/>
    <w:rsid w:val="006565F3"/>
    <w:rsid w:val="00656E2B"/>
    <w:rsid w:val="00657C7C"/>
    <w:rsid w:val="00661125"/>
    <w:rsid w:val="00661F47"/>
    <w:rsid w:val="006636E7"/>
    <w:rsid w:val="00664BB3"/>
    <w:rsid w:val="00665487"/>
    <w:rsid w:val="00665909"/>
    <w:rsid w:val="00667BC1"/>
    <w:rsid w:val="0067375A"/>
    <w:rsid w:val="00675F4B"/>
    <w:rsid w:val="00676AAC"/>
    <w:rsid w:val="00680144"/>
    <w:rsid w:val="0068275C"/>
    <w:rsid w:val="00682B86"/>
    <w:rsid w:val="00682C1E"/>
    <w:rsid w:val="00683F92"/>
    <w:rsid w:val="00684B2D"/>
    <w:rsid w:val="00693119"/>
    <w:rsid w:val="006935CC"/>
    <w:rsid w:val="00693C1E"/>
    <w:rsid w:val="00694DF4"/>
    <w:rsid w:val="00695DBB"/>
    <w:rsid w:val="006963D4"/>
    <w:rsid w:val="006A281A"/>
    <w:rsid w:val="006A43F7"/>
    <w:rsid w:val="006A4A67"/>
    <w:rsid w:val="006A5929"/>
    <w:rsid w:val="006A7D23"/>
    <w:rsid w:val="006B01A8"/>
    <w:rsid w:val="006B1213"/>
    <w:rsid w:val="006B1348"/>
    <w:rsid w:val="006B18AF"/>
    <w:rsid w:val="006B34E0"/>
    <w:rsid w:val="006B37A2"/>
    <w:rsid w:val="006B4132"/>
    <w:rsid w:val="006C01E8"/>
    <w:rsid w:val="006C2E09"/>
    <w:rsid w:val="006C38E9"/>
    <w:rsid w:val="006C40D4"/>
    <w:rsid w:val="006C419A"/>
    <w:rsid w:val="006C4277"/>
    <w:rsid w:val="006C576C"/>
    <w:rsid w:val="006C62B0"/>
    <w:rsid w:val="006C6D59"/>
    <w:rsid w:val="006D053A"/>
    <w:rsid w:val="006D09C5"/>
    <w:rsid w:val="006D0C9F"/>
    <w:rsid w:val="006D0E1F"/>
    <w:rsid w:val="006E00BA"/>
    <w:rsid w:val="006E1F92"/>
    <w:rsid w:val="006E6BC7"/>
    <w:rsid w:val="006F2C76"/>
    <w:rsid w:val="006F615C"/>
    <w:rsid w:val="006F64C1"/>
    <w:rsid w:val="006F6DC8"/>
    <w:rsid w:val="006F7937"/>
    <w:rsid w:val="00700B67"/>
    <w:rsid w:val="00701BE6"/>
    <w:rsid w:val="00702A3C"/>
    <w:rsid w:val="007043D6"/>
    <w:rsid w:val="00704F04"/>
    <w:rsid w:val="00707321"/>
    <w:rsid w:val="00707B8C"/>
    <w:rsid w:val="00710134"/>
    <w:rsid w:val="0071481E"/>
    <w:rsid w:val="00723C77"/>
    <w:rsid w:val="00724B0C"/>
    <w:rsid w:val="00727D3A"/>
    <w:rsid w:val="00732F4A"/>
    <w:rsid w:val="0073320A"/>
    <w:rsid w:val="00737518"/>
    <w:rsid w:val="00740098"/>
    <w:rsid w:val="00743700"/>
    <w:rsid w:val="0074516A"/>
    <w:rsid w:val="007456A1"/>
    <w:rsid w:val="00745B65"/>
    <w:rsid w:val="007504A3"/>
    <w:rsid w:val="00761265"/>
    <w:rsid w:val="00761761"/>
    <w:rsid w:val="0076215A"/>
    <w:rsid w:val="007631EF"/>
    <w:rsid w:val="00765816"/>
    <w:rsid w:val="007670BC"/>
    <w:rsid w:val="0077021C"/>
    <w:rsid w:val="007711C4"/>
    <w:rsid w:val="007731A2"/>
    <w:rsid w:val="0077461E"/>
    <w:rsid w:val="00775227"/>
    <w:rsid w:val="00775393"/>
    <w:rsid w:val="0077577D"/>
    <w:rsid w:val="00776ED1"/>
    <w:rsid w:val="007773DA"/>
    <w:rsid w:val="00777A79"/>
    <w:rsid w:val="00780E41"/>
    <w:rsid w:val="007827DA"/>
    <w:rsid w:val="00785314"/>
    <w:rsid w:val="00786DB4"/>
    <w:rsid w:val="00787BE8"/>
    <w:rsid w:val="00792817"/>
    <w:rsid w:val="0079282C"/>
    <w:rsid w:val="00794C99"/>
    <w:rsid w:val="00794DF3"/>
    <w:rsid w:val="007A1833"/>
    <w:rsid w:val="007A5A43"/>
    <w:rsid w:val="007A7689"/>
    <w:rsid w:val="007B075C"/>
    <w:rsid w:val="007B21F5"/>
    <w:rsid w:val="007B5490"/>
    <w:rsid w:val="007B7F78"/>
    <w:rsid w:val="007C1703"/>
    <w:rsid w:val="007C2794"/>
    <w:rsid w:val="007D03E1"/>
    <w:rsid w:val="007D3BDA"/>
    <w:rsid w:val="007D40CE"/>
    <w:rsid w:val="007D74D8"/>
    <w:rsid w:val="007D79ED"/>
    <w:rsid w:val="007E26C8"/>
    <w:rsid w:val="007E3716"/>
    <w:rsid w:val="007E5D53"/>
    <w:rsid w:val="007E6223"/>
    <w:rsid w:val="007E7E46"/>
    <w:rsid w:val="007F22B4"/>
    <w:rsid w:val="007F6AC5"/>
    <w:rsid w:val="008026FF"/>
    <w:rsid w:val="008039E0"/>
    <w:rsid w:val="00804C54"/>
    <w:rsid w:val="008051A7"/>
    <w:rsid w:val="00805A57"/>
    <w:rsid w:val="0081490F"/>
    <w:rsid w:val="00814E67"/>
    <w:rsid w:val="008156DA"/>
    <w:rsid w:val="0081736B"/>
    <w:rsid w:val="00817713"/>
    <w:rsid w:val="00823BE9"/>
    <w:rsid w:val="00823C19"/>
    <w:rsid w:val="008253DA"/>
    <w:rsid w:val="00825AD0"/>
    <w:rsid w:val="00826C1F"/>
    <w:rsid w:val="0082751D"/>
    <w:rsid w:val="00827906"/>
    <w:rsid w:val="00831095"/>
    <w:rsid w:val="00831DFD"/>
    <w:rsid w:val="00836475"/>
    <w:rsid w:val="008372EA"/>
    <w:rsid w:val="00843B6C"/>
    <w:rsid w:val="00846A6B"/>
    <w:rsid w:val="00847793"/>
    <w:rsid w:val="00847C9F"/>
    <w:rsid w:val="00850D2E"/>
    <w:rsid w:val="00852212"/>
    <w:rsid w:val="008541AF"/>
    <w:rsid w:val="008560CD"/>
    <w:rsid w:val="008572F9"/>
    <w:rsid w:val="00864510"/>
    <w:rsid w:val="00865E48"/>
    <w:rsid w:val="0087148A"/>
    <w:rsid w:val="008747FC"/>
    <w:rsid w:val="00874BCE"/>
    <w:rsid w:val="00874D27"/>
    <w:rsid w:val="00876BD2"/>
    <w:rsid w:val="0087704D"/>
    <w:rsid w:val="00880392"/>
    <w:rsid w:val="00881BD1"/>
    <w:rsid w:val="0088532B"/>
    <w:rsid w:val="00886E19"/>
    <w:rsid w:val="0088743E"/>
    <w:rsid w:val="008911E2"/>
    <w:rsid w:val="008920F3"/>
    <w:rsid w:val="008A180B"/>
    <w:rsid w:val="008A1B10"/>
    <w:rsid w:val="008B0B3C"/>
    <w:rsid w:val="008B433A"/>
    <w:rsid w:val="008C143E"/>
    <w:rsid w:val="008C3BA2"/>
    <w:rsid w:val="008C449C"/>
    <w:rsid w:val="008C4A07"/>
    <w:rsid w:val="008C70B5"/>
    <w:rsid w:val="008C72D3"/>
    <w:rsid w:val="008D11C9"/>
    <w:rsid w:val="008D25E7"/>
    <w:rsid w:val="008E1DA8"/>
    <w:rsid w:val="008E2160"/>
    <w:rsid w:val="008E3047"/>
    <w:rsid w:val="008E37D3"/>
    <w:rsid w:val="008E6D84"/>
    <w:rsid w:val="008E70BF"/>
    <w:rsid w:val="008F4DA9"/>
    <w:rsid w:val="008F741B"/>
    <w:rsid w:val="00901315"/>
    <w:rsid w:val="00904DDA"/>
    <w:rsid w:val="00906484"/>
    <w:rsid w:val="009068EA"/>
    <w:rsid w:val="00910850"/>
    <w:rsid w:val="00911F4F"/>
    <w:rsid w:val="0091312C"/>
    <w:rsid w:val="00913234"/>
    <w:rsid w:val="00913258"/>
    <w:rsid w:val="009137DD"/>
    <w:rsid w:val="00916214"/>
    <w:rsid w:val="00917D39"/>
    <w:rsid w:val="0092064B"/>
    <w:rsid w:val="009213D0"/>
    <w:rsid w:val="00924872"/>
    <w:rsid w:val="00924EC7"/>
    <w:rsid w:val="0092624F"/>
    <w:rsid w:val="009273BF"/>
    <w:rsid w:val="00932310"/>
    <w:rsid w:val="00934672"/>
    <w:rsid w:val="00934E6B"/>
    <w:rsid w:val="00935836"/>
    <w:rsid w:val="009411C7"/>
    <w:rsid w:val="0094268C"/>
    <w:rsid w:val="00942FC1"/>
    <w:rsid w:val="00943E2E"/>
    <w:rsid w:val="009468EE"/>
    <w:rsid w:val="00947ECD"/>
    <w:rsid w:val="009512F3"/>
    <w:rsid w:val="0095230A"/>
    <w:rsid w:val="00952451"/>
    <w:rsid w:val="00954C61"/>
    <w:rsid w:val="00955E13"/>
    <w:rsid w:val="009571A3"/>
    <w:rsid w:val="009616F2"/>
    <w:rsid w:val="00962F1C"/>
    <w:rsid w:val="009641BE"/>
    <w:rsid w:val="009701DC"/>
    <w:rsid w:val="00976784"/>
    <w:rsid w:val="009769E2"/>
    <w:rsid w:val="009808EA"/>
    <w:rsid w:val="00980A58"/>
    <w:rsid w:val="00984015"/>
    <w:rsid w:val="00984F63"/>
    <w:rsid w:val="0098541D"/>
    <w:rsid w:val="00986F46"/>
    <w:rsid w:val="00987AA2"/>
    <w:rsid w:val="00987D2F"/>
    <w:rsid w:val="0099352D"/>
    <w:rsid w:val="00996104"/>
    <w:rsid w:val="009A1236"/>
    <w:rsid w:val="009A1D3C"/>
    <w:rsid w:val="009A2EE8"/>
    <w:rsid w:val="009A3277"/>
    <w:rsid w:val="009A6395"/>
    <w:rsid w:val="009B048E"/>
    <w:rsid w:val="009B229E"/>
    <w:rsid w:val="009B31B6"/>
    <w:rsid w:val="009B60B5"/>
    <w:rsid w:val="009C193C"/>
    <w:rsid w:val="009C787F"/>
    <w:rsid w:val="009D07A2"/>
    <w:rsid w:val="009D2E41"/>
    <w:rsid w:val="009D3A39"/>
    <w:rsid w:val="009D5421"/>
    <w:rsid w:val="009D70EF"/>
    <w:rsid w:val="009D78E1"/>
    <w:rsid w:val="009E418D"/>
    <w:rsid w:val="009E4FF1"/>
    <w:rsid w:val="009F04EE"/>
    <w:rsid w:val="009F1385"/>
    <w:rsid w:val="009F16FC"/>
    <w:rsid w:val="009F34D0"/>
    <w:rsid w:val="009F4ABE"/>
    <w:rsid w:val="00A00A27"/>
    <w:rsid w:val="00A01E5C"/>
    <w:rsid w:val="00A02FE8"/>
    <w:rsid w:val="00A03D18"/>
    <w:rsid w:val="00A04091"/>
    <w:rsid w:val="00A05D2F"/>
    <w:rsid w:val="00A05F30"/>
    <w:rsid w:val="00A079E1"/>
    <w:rsid w:val="00A1093E"/>
    <w:rsid w:val="00A147BF"/>
    <w:rsid w:val="00A17524"/>
    <w:rsid w:val="00A202B5"/>
    <w:rsid w:val="00A22111"/>
    <w:rsid w:val="00A24AE1"/>
    <w:rsid w:val="00A25686"/>
    <w:rsid w:val="00A25C4C"/>
    <w:rsid w:val="00A301C2"/>
    <w:rsid w:val="00A30E38"/>
    <w:rsid w:val="00A31F72"/>
    <w:rsid w:val="00A32E91"/>
    <w:rsid w:val="00A33240"/>
    <w:rsid w:val="00A3378A"/>
    <w:rsid w:val="00A34FD2"/>
    <w:rsid w:val="00A36B10"/>
    <w:rsid w:val="00A4568F"/>
    <w:rsid w:val="00A45E67"/>
    <w:rsid w:val="00A46639"/>
    <w:rsid w:val="00A5118A"/>
    <w:rsid w:val="00A61384"/>
    <w:rsid w:val="00A620EE"/>
    <w:rsid w:val="00A64073"/>
    <w:rsid w:val="00A65C74"/>
    <w:rsid w:val="00A71325"/>
    <w:rsid w:val="00A713B6"/>
    <w:rsid w:val="00A73A46"/>
    <w:rsid w:val="00A73DAB"/>
    <w:rsid w:val="00A77192"/>
    <w:rsid w:val="00A8151E"/>
    <w:rsid w:val="00A83638"/>
    <w:rsid w:val="00A91DEA"/>
    <w:rsid w:val="00A92C54"/>
    <w:rsid w:val="00A92D0A"/>
    <w:rsid w:val="00A9594E"/>
    <w:rsid w:val="00A95F74"/>
    <w:rsid w:val="00A96478"/>
    <w:rsid w:val="00AA04BC"/>
    <w:rsid w:val="00AA2362"/>
    <w:rsid w:val="00AA241E"/>
    <w:rsid w:val="00AB1C24"/>
    <w:rsid w:val="00AB4237"/>
    <w:rsid w:val="00AC0FB8"/>
    <w:rsid w:val="00AC2249"/>
    <w:rsid w:val="00AC37DF"/>
    <w:rsid w:val="00AC5D9A"/>
    <w:rsid w:val="00AC667E"/>
    <w:rsid w:val="00AC6A0F"/>
    <w:rsid w:val="00AC7FD2"/>
    <w:rsid w:val="00AD1C10"/>
    <w:rsid w:val="00AD1C6D"/>
    <w:rsid w:val="00AD28B7"/>
    <w:rsid w:val="00AD7996"/>
    <w:rsid w:val="00AE3CDF"/>
    <w:rsid w:val="00AE48FF"/>
    <w:rsid w:val="00AE4D86"/>
    <w:rsid w:val="00AE4F24"/>
    <w:rsid w:val="00AE549B"/>
    <w:rsid w:val="00AE667B"/>
    <w:rsid w:val="00AE6A64"/>
    <w:rsid w:val="00AE7053"/>
    <w:rsid w:val="00AE73D0"/>
    <w:rsid w:val="00AE7B62"/>
    <w:rsid w:val="00AF0BE2"/>
    <w:rsid w:val="00AF0E53"/>
    <w:rsid w:val="00AF207C"/>
    <w:rsid w:val="00AF2292"/>
    <w:rsid w:val="00AF2BAD"/>
    <w:rsid w:val="00AF42AB"/>
    <w:rsid w:val="00AF45A7"/>
    <w:rsid w:val="00AF6DE4"/>
    <w:rsid w:val="00B00167"/>
    <w:rsid w:val="00B019CD"/>
    <w:rsid w:val="00B05BCC"/>
    <w:rsid w:val="00B10A43"/>
    <w:rsid w:val="00B130E6"/>
    <w:rsid w:val="00B13C8B"/>
    <w:rsid w:val="00B13F54"/>
    <w:rsid w:val="00B13FF8"/>
    <w:rsid w:val="00B15C32"/>
    <w:rsid w:val="00B16A03"/>
    <w:rsid w:val="00B17D77"/>
    <w:rsid w:val="00B20282"/>
    <w:rsid w:val="00B22107"/>
    <w:rsid w:val="00B2300E"/>
    <w:rsid w:val="00B23048"/>
    <w:rsid w:val="00B244F1"/>
    <w:rsid w:val="00B24A93"/>
    <w:rsid w:val="00B2508C"/>
    <w:rsid w:val="00B2634B"/>
    <w:rsid w:val="00B27993"/>
    <w:rsid w:val="00B27C76"/>
    <w:rsid w:val="00B31635"/>
    <w:rsid w:val="00B33A02"/>
    <w:rsid w:val="00B3503B"/>
    <w:rsid w:val="00B35D23"/>
    <w:rsid w:val="00B35D8C"/>
    <w:rsid w:val="00B365C8"/>
    <w:rsid w:val="00B37189"/>
    <w:rsid w:val="00B376EE"/>
    <w:rsid w:val="00B417F0"/>
    <w:rsid w:val="00B41A4B"/>
    <w:rsid w:val="00B41CBB"/>
    <w:rsid w:val="00B427E3"/>
    <w:rsid w:val="00B42869"/>
    <w:rsid w:val="00B43EC1"/>
    <w:rsid w:val="00B47AAE"/>
    <w:rsid w:val="00B54FE1"/>
    <w:rsid w:val="00B550B1"/>
    <w:rsid w:val="00B5731F"/>
    <w:rsid w:val="00B57B6E"/>
    <w:rsid w:val="00B64055"/>
    <w:rsid w:val="00B6590F"/>
    <w:rsid w:val="00B708A3"/>
    <w:rsid w:val="00B717D5"/>
    <w:rsid w:val="00B73BAF"/>
    <w:rsid w:val="00B75A9C"/>
    <w:rsid w:val="00B801E1"/>
    <w:rsid w:val="00B82B23"/>
    <w:rsid w:val="00B8327E"/>
    <w:rsid w:val="00B84B14"/>
    <w:rsid w:val="00B90C64"/>
    <w:rsid w:val="00B91564"/>
    <w:rsid w:val="00B939FC"/>
    <w:rsid w:val="00B93B94"/>
    <w:rsid w:val="00B95A56"/>
    <w:rsid w:val="00B95EE4"/>
    <w:rsid w:val="00BA028C"/>
    <w:rsid w:val="00BA59F6"/>
    <w:rsid w:val="00BA67B5"/>
    <w:rsid w:val="00BA749E"/>
    <w:rsid w:val="00BB44FF"/>
    <w:rsid w:val="00BB5070"/>
    <w:rsid w:val="00BB5497"/>
    <w:rsid w:val="00BB749B"/>
    <w:rsid w:val="00BC23E5"/>
    <w:rsid w:val="00BC3F29"/>
    <w:rsid w:val="00BC45B7"/>
    <w:rsid w:val="00BC6A11"/>
    <w:rsid w:val="00BC6DBB"/>
    <w:rsid w:val="00BD1CE1"/>
    <w:rsid w:val="00BD1D32"/>
    <w:rsid w:val="00BD260F"/>
    <w:rsid w:val="00BD2DDD"/>
    <w:rsid w:val="00BD3C2C"/>
    <w:rsid w:val="00BE316F"/>
    <w:rsid w:val="00BE4C7C"/>
    <w:rsid w:val="00BE697D"/>
    <w:rsid w:val="00BF19F9"/>
    <w:rsid w:val="00BF39D2"/>
    <w:rsid w:val="00BF4A61"/>
    <w:rsid w:val="00BF594F"/>
    <w:rsid w:val="00BF5FC3"/>
    <w:rsid w:val="00BF6276"/>
    <w:rsid w:val="00C00F5D"/>
    <w:rsid w:val="00C0413D"/>
    <w:rsid w:val="00C0546A"/>
    <w:rsid w:val="00C05D8F"/>
    <w:rsid w:val="00C063F2"/>
    <w:rsid w:val="00C10CCD"/>
    <w:rsid w:val="00C13BC9"/>
    <w:rsid w:val="00C1491B"/>
    <w:rsid w:val="00C14AC1"/>
    <w:rsid w:val="00C1510C"/>
    <w:rsid w:val="00C151DB"/>
    <w:rsid w:val="00C21DF5"/>
    <w:rsid w:val="00C2387F"/>
    <w:rsid w:val="00C23A1B"/>
    <w:rsid w:val="00C268E0"/>
    <w:rsid w:val="00C26DEF"/>
    <w:rsid w:val="00C3277E"/>
    <w:rsid w:val="00C32CCD"/>
    <w:rsid w:val="00C33F9A"/>
    <w:rsid w:val="00C35733"/>
    <w:rsid w:val="00C37397"/>
    <w:rsid w:val="00C40F0F"/>
    <w:rsid w:val="00C4158F"/>
    <w:rsid w:val="00C43280"/>
    <w:rsid w:val="00C444AD"/>
    <w:rsid w:val="00C45966"/>
    <w:rsid w:val="00C5053D"/>
    <w:rsid w:val="00C5229B"/>
    <w:rsid w:val="00C53567"/>
    <w:rsid w:val="00C54544"/>
    <w:rsid w:val="00C57619"/>
    <w:rsid w:val="00C57771"/>
    <w:rsid w:val="00C618D3"/>
    <w:rsid w:val="00C62CEE"/>
    <w:rsid w:val="00C63D45"/>
    <w:rsid w:val="00C64A7A"/>
    <w:rsid w:val="00C663BD"/>
    <w:rsid w:val="00C66D57"/>
    <w:rsid w:val="00C66FE5"/>
    <w:rsid w:val="00C67057"/>
    <w:rsid w:val="00C6714D"/>
    <w:rsid w:val="00C737C4"/>
    <w:rsid w:val="00C8083B"/>
    <w:rsid w:val="00C83140"/>
    <w:rsid w:val="00C838FD"/>
    <w:rsid w:val="00C83BD0"/>
    <w:rsid w:val="00C86CE6"/>
    <w:rsid w:val="00C9201E"/>
    <w:rsid w:val="00C932DA"/>
    <w:rsid w:val="00C940BB"/>
    <w:rsid w:val="00C951EF"/>
    <w:rsid w:val="00C962B1"/>
    <w:rsid w:val="00CA187F"/>
    <w:rsid w:val="00CA3EAF"/>
    <w:rsid w:val="00CA5367"/>
    <w:rsid w:val="00CA554B"/>
    <w:rsid w:val="00CA58CE"/>
    <w:rsid w:val="00CB08F6"/>
    <w:rsid w:val="00CB5A4C"/>
    <w:rsid w:val="00CB659C"/>
    <w:rsid w:val="00CB7BD8"/>
    <w:rsid w:val="00CC60FB"/>
    <w:rsid w:val="00CD26EA"/>
    <w:rsid w:val="00CD6A2C"/>
    <w:rsid w:val="00CD7F32"/>
    <w:rsid w:val="00CE00C5"/>
    <w:rsid w:val="00CE0CBC"/>
    <w:rsid w:val="00CE12E8"/>
    <w:rsid w:val="00CE1907"/>
    <w:rsid w:val="00CE3135"/>
    <w:rsid w:val="00CE32CA"/>
    <w:rsid w:val="00CE5074"/>
    <w:rsid w:val="00CE73BC"/>
    <w:rsid w:val="00CF056B"/>
    <w:rsid w:val="00CF07D7"/>
    <w:rsid w:val="00CF2256"/>
    <w:rsid w:val="00CF2CF7"/>
    <w:rsid w:val="00CF4842"/>
    <w:rsid w:val="00CF4D95"/>
    <w:rsid w:val="00CF4E04"/>
    <w:rsid w:val="00CF64AB"/>
    <w:rsid w:val="00CF6A4B"/>
    <w:rsid w:val="00CF6B06"/>
    <w:rsid w:val="00D01944"/>
    <w:rsid w:val="00D024AA"/>
    <w:rsid w:val="00D05B69"/>
    <w:rsid w:val="00D0613D"/>
    <w:rsid w:val="00D1680F"/>
    <w:rsid w:val="00D1756A"/>
    <w:rsid w:val="00D17E3F"/>
    <w:rsid w:val="00D20693"/>
    <w:rsid w:val="00D20FC9"/>
    <w:rsid w:val="00D243A9"/>
    <w:rsid w:val="00D25809"/>
    <w:rsid w:val="00D30E61"/>
    <w:rsid w:val="00D3201F"/>
    <w:rsid w:val="00D32C8A"/>
    <w:rsid w:val="00D33956"/>
    <w:rsid w:val="00D36761"/>
    <w:rsid w:val="00D36AB6"/>
    <w:rsid w:val="00D36E67"/>
    <w:rsid w:val="00D3703A"/>
    <w:rsid w:val="00D40B7D"/>
    <w:rsid w:val="00D40DEA"/>
    <w:rsid w:val="00D42723"/>
    <w:rsid w:val="00D43DCB"/>
    <w:rsid w:val="00D44D7D"/>
    <w:rsid w:val="00D4675C"/>
    <w:rsid w:val="00D47A0B"/>
    <w:rsid w:val="00D47D21"/>
    <w:rsid w:val="00D515E9"/>
    <w:rsid w:val="00D522E5"/>
    <w:rsid w:val="00D53AB7"/>
    <w:rsid w:val="00D546A1"/>
    <w:rsid w:val="00D5700C"/>
    <w:rsid w:val="00D63E2C"/>
    <w:rsid w:val="00D63F35"/>
    <w:rsid w:val="00D65331"/>
    <w:rsid w:val="00D66A38"/>
    <w:rsid w:val="00D674CD"/>
    <w:rsid w:val="00D703D1"/>
    <w:rsid w:val="00D72C22"/>
    <w:rsid w:val="00D73FA5"/>
    <w:rsid w:val="00D7510E"/>
    <w:rsid w:val="00D76654"/>
    <w:rsid w:val="00D81906"/>
    <w:rsid w:val="00D826AF"/>
    <w:rsid w:val="00D846E1"/>
    <w:rsid w:val="00D8592F"/>
    <w:rsid w:val="00D87AD1"/>
    <w:rsid w:val="00D90A83"/>
    <w:rsid w:val="00D93220"/>
    <w:rsid w:val="00D94DC3"/>
    <w:rsid w:val="00D95960"/>
    <w:rsid w:val="00D96C7A"/>
    <w:rsid w:val="00D96CCE"/>
    <w:rsid w:val="00DA14FD"/>
    <w:rsid w:val="00DA6F59"/>
    <w:rsid w:val="00DA7A2E"/>
    <w:rsid w:val="00DA7FC7"/>
    <w:rsid w:val="00DB049E"/>
    <w:rsid w:val="00DB0958"/>
    <w:rsid w:val="00DB4A6D"/>
    <w:rsid w:val="00DB5F0E"/>
    <w:rsid w:val="00DB609B"/>
    <w:rsid w:val="00DB7113"/>
    <w:rsid w:val="00DB7744"/>
    <w:rsid w:val="00DB7BE3"/>
    <w:rsid w:val="00DC1FB1"/>
    <w:rsid w:val="00DC380F"/>
    <w:rsid w:val="00DC381F"/>
    <w:rsid w:val="00DC45AD"/>
    <w:rsid w:val="00DC4ECE"/>
    <w:rsid w:val="00DD1075"/>
    <w:rsid w:val="00DD222E"/>
    <w:rsid w:val="00DD3A4B"/>
    <w:rsid w:val="00DD49DE"/>
    <w:rsid w:val="00DD5353"/>
    <w:rsid w:val="00DD5484"/>
    <w:rsid w:val="00DD6DF1"/>
    <w:rsid w:val="00DD700D"/>
    <w:rsid w:val="00DE6253"/>
    <w:rsid w:val="00DF30F5"/>
    <w:rsid w:val="00DF59FC"/>
    <w:rsid w:val="00DF662C"/>
    <w:rsid w:val="00DF742F"/>
    <w:rsid w:val="00DF7902"/>
    <w:rsid w:val="00E01D2F"/>
    <w:rsid w:val="00E03704"/>
    <w:rsid w:val="00E040D7"/>
    <w:rsid w:val="00E04968"/>
    <w:rsid w:val="00E04AED"/>
    <w:rsid w:val="00E05EDF"/>
    <w:rsid w:val="00E0689E"/>
    <w:rsid w:val="00E07685"/>
    <w:rsid w:val="00E10A54"/>
    <w:rsid w:val="00E12272"/>
    <w:rsid w:val="00E127EE"/>
    <w:rsid w:val="00E13583"/>
    <w:rsid w:val="00E13C02"/>
    <w:rsid w:val="00E14E40"/>
    <w:rsid w:val="00E150BB"/>
    <w:rsid w:val="00E16851"/>
    <w:rsid w:val="00E172F1"/>
    <w:rsid w:val="00E17655"/>
    <w:rsid w:val="00E21353"/>
    <w:rsid w:val="00E2242B"/>
    <w:rsid w:val="00E22A55"/>
    <w:rsid w:val="00E23F12"/>
    <w:rsid w:val="00E248EA"/>
    <w:rsid w:val="00E2527A"/>
    <w:rsid w:val="00E25E6D"/>
    <w:rsid w:val="00E26692"/>
    <w:rsid w:val="00E31711"/>
    <w:rsid w:val="00E40CFA"/>
    <w:rsid w:val="00E41A4F"/>
    <w:rsid w:val="00E42EBD"/>
    <w:rsid w:val="00E450B0"/>
    <w:rsid w:val="00E45F2F"/>
    <w:rsid w:val="00E51292"/>
    <w:rsid w:val="00E51448"/>
    <w:rsid w:val="00E5450D"/>
    <w:rsid w:val="00E55618"/>
    <w:rsid w:val="00E60763"/>
    <w:rsid w:val="00E60818"/>
    <w:rsid w:val="00E6127E"/>
    <w:rsid w:val="00E618E4"/>
    <w:rsid w:val="00E62118"/>
    <w:rsid w:val="00E621D6"/>
    <w:rsid w:val="00E63B38"/>
    <w:rsid w:val="00E66811"/>
    <w:rsid w:val="00E704FB"/>
    <w:rsid w:val="00E711AB"/>
    <w:rsid w:val="00E71491"/>
    <w:rsid w:val="00E714F6"/>
    <w:rsid w:val="00E71CAC"/>
    <w:rsid w:val="00E72B3D"/>
    <w:rsid w:val="00E75882"/>
    <w:rsid w:val="00E77972"/>
    <w:rsid w:val="00E77E02"/>
    <w:rsid w:val="00E80007"/>
    <w:rsid w:val="00E80859"/>
    <w:rsid w:val="00E8193C"/>
    <w:rsid w:val="00E83302"/>
    <w:rsid w:val="00E86B42"/>
    <w:rsid w:val="00E86D2A"/>
    <w:rsid w:val="00E8752C"/>
    <w:rsid w:val="00E87AD2"/>
    <w:rsid w:val="00E90625"/>
    <w:rsid w:val="00E9068D"/>
    <w:rsid w:val="00E9355E"/>
    <w:rsid w:val="00E93B34"/>
    <w:rsid w:val="00EA1599"/>
    <w:rsid w:val="00EA1A17"/>
    <w:rsid w:val="00EA34B4"/>
    <w:rsid w:val="00EA3B87"/>
    <w:rsid w:val="00EA4E8B"/>
    <w:rsid w:val="00EA545F"/>
    <w:rsid w:val="00EA564A"/>
    <w:rsid w:val="00EA5C60"/>
    <w:rsid w:val="00EA68A3"/>
    <w:rsid w:val="00EB56DA"/>
    <w:rsid w:val="00EB5F06"/>
    <w:rsid w:val="00EB75CE"/>
    <w:rsid w:val="00EB77B9"/>
    <w:rsid w:val="00EC0E72"/>
    <w:rsid w:val="00EC12F7"/>
    <w:rsid w:val="00EC1815"/>
    <w:rsid w:val="00EC728B"/>
    <w:rsid w:val="00ED137D"/>
    <w:rsid w:val="00ED2BF3"/>
    <w:rsid w:val="00ED46CC"/>
    <w:rsid w:val="00ED486B"/>
    <w:rsid w:val="00ED66B5"/>
    <w:rsid w:val="00ED73FC"/>
    <w:rsid w:val="00EE03AF"/>
    <w:rsid w:val="00EE04E6"/>
    <w:rsid w:val="00EE3058"/>
    <w:rsid w:val="00EE731A"/>
    <w:rsid w:val="00EE78C7"/>
    <w:rsid w:val="00EF030D"/>
    <w:rsid w:val="00EF04D7"/>
    <w:rsid w:val="00EF0731"/>
    <w:rsid w:val="00EF0A6B"/>
    <w:rsid w:val="00EF0F02"/>
    <w:rsid w:val="00EF1312"/>
    <w:rsid w:val="00EF3414"/>
    <w:rsid w:val="00EF488D"/>
    <w:rsid w:val="00EF6B97"/>
    <w:rsid w:val="00F01E8A"/>
    <w:rsid w:val="00F030B9"/>
    <w:rsid w:val="00F05778"/>
    <w:rsid w:val="00F060DC"/>
    <w:rsid w:val="00F06A93"/>
    <w:rsid w:val="00F07E47"/>
    <w:rsid w:val="00F10DC3"/>
    <w:rsid w:val="00F12930"/>
    <w:rsid w:val="00F1421C"/>
    <w:rsid w:val="00F14B3B"/>
    <w:rsid w:val="00F1637E"/>
    <w:rsid w:val="00F16590"/>
    <w:rsid w:val="00F16BC2"/>
    <w:rsid w:val="00F17250"/>
    <w:rsid w:val="00F17BA8"/>
    <w:rsid w:val="00F22591"/>
    <w:rsid w:val="00F2272F"/>
    <w:rsid w:val="00F2316E"/>
    <w:rsid w:val="00F24019"/>
    <w:rsid w:val="00F247C6"/>
    <w:rsid w:val="00F24AF1"/>
    <w:rsid w:val="00F2529D"/>
    <w:rsid w:val="00F27047"/>
    <w:rsid w:val="00F303AA"/>
    <w:rsid w:val="00F31596"/>
    <w:rsid w:val="00F33DA8"/>
    <w:rsid w:val="00F343DC"/>
    <w:rsid w:val="00F35AA4"/>
    <w:rsid w:val="00F3617E"/>
    <w:rsid w:val="00F365AC"/>
    <w:rsid w:val="00F401E1"/>
    <w:rsid w:val="00F409A0"/>
    <w:rsid w:val="00F41BCD"/>
    <w:rsid w:val="00F42C56"/>
    <w:rsid w:val="00F42ED4"/>
    <w:rsid w:val="00F5256A"/>
    <w:rsid w:val="00F5391A"/>
    <w:rsid w:val="00F54E07"/>
    <w:rsid w:val="00F56458"/>
    <w:rsid w:val="00F57250"/>
    <w:rsid w:val="00F656D1"/>
    <w:rsid w:val="00F6741C"/>
    <w:rsid w:val="00F72C10"/>
    <w:rsid w:val="00F72F56"/>
    <w:rsid w:val="00F72FF9"/>
    <w:rsid w:val="00F75192"/>
    <w:rsid w:val="00F76438"/>
    <w:rsid w:val="00F800F8"/>
    <w:rsid w:val="00F802F5"/>
    <w:rsid w:val="00F811AC"/>
    <w:rsid w:val="00F825EE"/>
    <w:rsid w:val="00F83C56"/>
    <w:rsid w:val="00F83E23"/>
    <w:rsid w:val="00F87FBC"/>
    <w:rsid w:val="00F92851"/>
    <w:rsid w:val="00F95AF9"/>
    <w:rsid w:val="00FA0F13"/>
    <w:rsid w:val="00FA1205"/>
    <w:rsid w:val="00FA60DE"/>
    <w:rsid w:val="00FB09FB"/>
    <w:rsid w:val="00FB3184"/>
    <w:rsid w:val="00FB3A0D"/>
    <w:rsid w:val="00FB52F3"/>
    <w:rsid w:val="00FB5437"/>
    <w:rsid w:val="00FB6C44"/>
    <w:rsid w:val="00FC0158"/>
    <w:rsid w:val="00FC13B7"/>
    <w:rsid w:val="00FC19BC"/>
    <w:rsid w:val="00FC3335"/>
    <w:rsid w:val="00FC3B89"/>
    <w:rsid w:val="00FC3C1F"/>
    <w:rsid w:val="00FC4A02"/>
    <w:rsid w:val="00FC57C7"/>
    <w:rsid w:val="00FC5DF0"/>
    <w:rsid w:val="00FC603B"/>
    <w:rsid w:val="00FD11EC"/>
    <w:rsid w:val="00FD3C76"/>
    <w:rsid w:val="00FD3C82"/>
    <w:rsid w:val="00FD6314"/>
    <w:rsid w:val="00FE7C72"/>
    <w:rsid w:val="00FF150C"/>
    <w:rsid w:val="00FF3490"/>
    <w:rsid w:val="00FF6EC7"/>
    <w:rsid w:val="00FF6F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2"/>
    </o:shapelayout>
  </w:shapeDefaults>
  <w:decimalSymbol w:val="."/>
  <w:listSeparator w:val=";"/>
  <w14:docId w14:val="3FC2A095"/>
  <w15:chartTrackingRefBased/>
  <w15:docId w15:val="{F78E538C-AD3B-4FA6-AA5F-04D677C6E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540DF"/>
    <w:pPr>
      <w:spacing w:before="120" w:after="120"/>
      <w:ind w:firstLine="567"/>
      <w:jc w:val="both"/>
    </w:pPr>
    <w:rPr>
      <w:rFonts w:ascii="Arial" w:hAnsi="Arial"/>
      <w:sz w:val="24"/>
      <w:szCs w:val="24"/>
    </w:rPr>
  </w:style>
  <w:style w:type="paragraph" w:styleId="Nadpis1">
    <w:name w:val="heading 1"/>
    <w:basedOn w:val="Normln"/>
    <w:next w:val="Normln"/>
    <w:qFormat/>
    <w:rsid w:val="00980A58"/>
    <w:pPr>
      <w:keepNext/>
      <w:numPr>
        <w:numId w:val="32"/>
      </w:numPr>
      <w:spacing w:before="240"/>
      <w:outlineLvl w:val="0"/>
    </w:pPr>
    <w:rPr>
      <w:b/>
      <w:sz w:val="32"/>
      <w:szCs w:val="20"/>
    </w:rPr>
  </w:style>
  <w:style w:type="paragraph" w:styleId="Nadpis2">
    <w:name w:val="heading 2"/>
    <w:basedOn w:val="Normln"/>
    <w:next w:val="Normln"/>
    <w:link w:val="Nadpis2Char"/>
    <w:autoRedefine/>
    <w:unhideWhenUsed/>
    <w:qFormat/>
    <w:rsid w:val="002540DF"/>
    <w:pPr>
      <w:keepNext/>
      <w:numPr>
        <w:ilvl w:val="1"/>
        <w:numId w:val="32"/>
      </w:numPr>
      <w:tabs>
        <w:tab w:val="left" w:pos="567"/>
        <w:tab w:val="left" w:pos="851"/>
      </w:tabs>
      <w:spacing w:before="360" w:after="240"/>
      <w:ind w:left="578" w:hanging="578"/>
      <w:outlineLvl w:val="1"/>
    </w:pPr>
    <w:rPr>
      <w:b/>
      <w:bCs/>
      <w:iCs/>
      <w:szCs w:val="28"/>
      <w:u w:val="single"/>
      <w:lang w:eastAsia="x-none"/>
    </w:rPr>
  </w:style>
  <w:style w:type="paragraph" w:styleId="Nadpis3">
    <w:name w:val="heading 3"/>
    <w:basedOn w:val="Normln"/>
    <w:next w:val="Normln"/>
    <w:link w:val="Nadpis3Char"/>
    <w:unhideWhenUsed/>
    <w:qFormat/>
    <w:rsid w:val="00F27047"/>
    <w:pPr>
      <w:keepNext/>
      <w:numPr>
        <w:ilvl w:val="2"/>
        <w:numId w:val="2"/>
      </w:numPr>
      <w:spacing w:before="240"/>
      <w:outlineLvl w:val="2"/>
    </w:pPr>
    <w:rPr>
      <w:bCs/>
      <w:szCs w:val="26"/>
      <w:u w:val="single"/>
      <w:lang w:val="x-none" w:eastAsia="x-none"/>
    </w:rPr>
  </w:style>
  <w:style w:type="paragraph" w:styleId="Nadpis4">
    <w:name w:val="heading 4"/>
    <w:basedOn w:val="Normln"/>
    <w:next w:val="Normln"/>
    <w:link w:val="Nadpis4Char"/>
    <w:semiHidden/>
    <w:unhideWhenUsed/>
    <w:qFormat/>
    <w:rsid w:val="00155C07"/>
    <w:pPr>
      <w:keepNext/>
      <w:numPr>
        <w:ilvl w:val="3"/>
        <w:numId w:val="32"/>
      </w:numPr>
      <w:spacing w:before="240" w:after="60"/>
      <w:outlineLvl w:val="3"/>
    </w:pPr>
    <w:rPr>
      <w:rFonts w:ascii="Calibri" w:hAnsi="Calibri"/>
      <w:b/>
      <w:bCs/>
      <w:sz w:val="28"/>
      <w:szCs w:val="28"/>
      <w:lang w:val="x-none" w:eastAsia="x-none"/>
    </w:rPr>
  </w:style>
  <w:style w:type="paragraph" w:styleId="Nadpis5">
    <w:name w:val="heading 5"/>
    <w:basedOn w:val="Normln"/>
    <w:next w:val="Normln"/>
    <w:link w:val="Nadpis5Char"/>
    <w:semiHidden/>
    <w:unhideWhenUsed/>
    <w:qFormat/>
    <w:rsid w:val="00155C07"/>
    <w:pPr>
      <w:numPr>
        <w:ilvl w:val="4"/>
        <w:numId w:val="32"/>
      </w:numPr>
      <w:spacing w:before="240" w:after="60"/>
      <w:outlineLvl w:val="4"/>
    </w:pPr>
    <w:rPr>
      <w:rFonts w:ascii="Calibri" w:hAnsi="Calibri"/>
      <w:b/>
      <w:bCs/>
      <w:i/>
      <w:iCs/>
      <w:sz w:val="26"/>
      <w:szCs w:val="26"/>
      <w:lang w:val="x-none" w:eastAsia="x-none"/>
    </w:rPr>
  </w:style>
  <w:style w:type="paragraph" w:styleId="Nadpis6">
    <w:name w:val="heading 6"/>
    <w:basedOn w:val="Normln"/>
    <w:next w:val="Normln"/>
    <w:link w:val="Nadpis6Char"/>
    <w:semiHidden/>
    <w:unhideWhenUsed/>
    <w:qFormat/>
    <w:rsid w:val="00155C07"/>
    <w:pPr>
      <w:numPr>
        <w:ilvl w:val="5"/>
        <w:numId w:val="32"/>
      </w:numPr>
      <w:spacing w:before="240" w:after="60"/>
      <w:outlineLvl w:val="5"/>
    </w:pPr>
    <w:rPr>
      <w:rFonts w:ascii="Calibri" w:hAnsi="Calibri"/>
      <w:b/>
      <w:bCs/>
      <w:sz w:val="22"/>
      <w:szCs w:val="22"/>
      <w:lang w:val="x-none" w:eastAsia="x-none"/>
    </w:rPr>
  </w:style>
  <w:style w:type="paragraph" w:styleId="Nadpis7">
    <w:name w:val="heading 7"/>
    <w:basedOn w:val="Normln"/>
    <w:next w:val="Normln"/>
    <w:link w:val="Nadpis7Char"/>
    <w:semiHidden/>
    <w:unhideWhenUsed/>
    <w:qFormat/>
    <w:rsid w:val="00155C07"/>
    <w:pPr>
      <w:numPr>
        <w:ilvl w:val="6"/>
        <w:numId w:val="32"/>
      </w:numPr>
      <w:spacing w:before="240" w:after="60"/>
      <w:outlineLvl w:val="6"/>
    </w:pPr>
    <w:rPr>
      <w:rFonts w:ascii="Calibri" w:hAnsi="Calibri"/>
      <w:lang w:val="x-none" w:eastAsia="x-none"/>
    </w:rPr>
  </w:style>
  <w:style w:type="paragraph" w:styleId="Nadpis8">
    <w:name w:val="heading 8"/>
    <w:basedOn w:val="Normln"/>
    <w:next w:val="Normln"/>
    <w:link w:val="Nadpis8Char"/>
    <w:semiHidden/>
    <w:unhideWhenUsed/>
    <w:qFormat/>
    <w:rsid w:val="00155C07"/>
    <w:pPr>
      <w:numPr>
        <w:ilvl w:val="7"/>
        <w:numId w:val="32"/>
      </w:numPr>
      <w:spacing w:before="240" w:after="60"/>
      <w:outlineLvl w:val="7"/>
    </w:pPr>
    <w:rPr>
      <w:rFonts w:ascii="Calibri" w:hAnsi="Calibri"/>
      <w:i/>
      <w:iCs/>
      <w:lang w:val="x-none" w:eastAsia="x-none"/>
    </w:rPr>
  </w:style>
  <w:style w:type="paragraph" w:styleId="Nadpis9">
    <w:name w:val="heading 9"/>
    <w:basedOn w:val="Normln"/>
    <w:next w:val="Normln"/>
    <w:link w:val="Nadpis9Char"/>
    <w:semiHidden/>
    <w:unhideWhenUsed/>
    <w:qFormat/>
    <w:rsid w:val="00155C07"/>
    <w:pPr>
      <w:numPr>
        <w:ilvl w:val="8"/>
        <w:numId w:val="32"/>
      </w:numPr>
      <w:spacing w:before="240" w:after="60"/>
      <w:outlineLvl w:val="8"/>
    </w:pPr>
    <w:rPr>
      <w:rFonts w:ascii="Cambria" w:hAnsi="Cambria"/>
      <w:sz w:val="22"/>
      <w:szCs w:val="2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D96CCE"/>
    <w:rPr>
      <w:rFonts w:ascii="Tahoma" w:hAnsi="Tahoma" w:cs="Tahoma"/>
      <w:sz w:val="16"/>
      <w:szCs w:val="16"/>
    </w:rPr>
  </w:style>
  <w:style w:type="paragraph" w:styleId="Zpat">
    <w:name w:val="footer"/>
    <w:basedOn w:val="Normln"/>
    <w:rsid w:val="00987AA2"/>
    <w:pPr>
      <w:tabs>
        <w:tab w:val="center" w:pos="4536"/>
        <w:tab w:val="right" w:pos="9072"/>
      </w:tabs>
    </w:pPr>
  </w:style>
  <w:style w:type="character" w:styleId="slostrnky">
    <w:name w:val="page number"/>
    <w:basedOn w:val="Standardnpsmoodstavce"/>
    <w:rsid w:val="00987AA2"/>
  </w:style>
  <w:style w:type="paragraph" w:styleId="Zhlav">
    <w:name w:val="header"/>
    <w:basedOn w:val="Normln"/>
    <w:link w:val="ZhlavChar"/>
    <w:rsid w:val="00987AA2"/>
    <w:pPr>
      <w:tabs>
        <w:tab w:val="center" w:pos="4536"/>
        <w:tab w:val="right" w:pos="9072"/>
      </w:tabs>
    </w:pPr>
  </w:style>
  <w:style w:type="paragraph" w:styleId="Zkladntext">
    <w:name w:val="Body Text"/>
    <w:basedOn w:val="Normln"/>
    <w:link w:val="ZkladntextChar"/>
    <w:rsid w:val="00007F91"/>
    <w:pPr>
      <w:widowControl w:val="0"/>
      <w:autoSpaceDE w:val="0"/>
      <w:autoSpaceDN w:val="0"/>
      <w:adjustRightInd w:val="0"/>
      <w:spacing w:line="240" w:lineRule="atLeast"/>
    </w:pPr>
    <w:rPr>
      <w:lang w:val="x-none" w:eastAsia="x-none"/>
    </w:rPr>
  </w:style>
  <w:style w:type="character" w:styleId="Hypertextovodkaz">
    <w:name w:val="Hyperlink"/>
    <w:uiPriority w:val="99"/>
    <w:rsid w:val="00DC381F"/>
    <w:rPr>
      <w:color w:val="0000FF"/>
      <w:u w:val="single"/>
    </w:rPr>
  </w:style>
  <w:style w:type="character" w:customStyle="1" w:styleId="apple-style-span">
    <w:name w:val="apple-style-span"/>
    <w:basedOn w:val="Standardnpsmoodstavce"/>
    <w:rsid w:val="0098541D"/>
  </w:style>
  <w:style w:type="character" w:customStyle="1" w:styleId="apple-converted-space">
    <w:name w:val="apple-converted-space"/>
    <w:basedOn w:val="Standardnpsmoodstavce"/>
    <w:rsid w:val="00814E67"/>
  </w:style>
  <w:style w:type="paragraph" w:customStyle="1" w:styleId="prvodce">
    <w:name w:val="prvodce"/>
    <w:basedOn w:val="Normln"/>
    <w:rsid w:val="00C063F2"/>
    <w:pPr>
      <w:spacing w:before="100" w:beforeAutospacing="1" w:after="100" w:afterAutospacing="1"/>
    </w:pPr>
    <w:rPr>
      <w:rFonts w:ascii="Times New Roman" w:hAnsi="Times New Roman"/>
    </w:rPr>
  </w:style>
  <w:style w:type="paragraph" w:styleId="Nzev">
    <w:name w:val="Title"/>
    <w:basedOn w:val="Normln"/>
    <w:next w:val="Normln"/>
    <w:link w:val="NzevChar"/>
    <w:qFormat/>
    <w:rsid w:val="00C21DF5"/>
    <w:pPr>
      <w:spacing w:before="240" w:after="300"/>
      <w:contextualSpacing/>
    </w:pPr>
    <w:rPr>
      <w:b/>
      <w:spacing w:val="5"/>
      <w:kern w:val="28"/>
      <w:sz w:val="36"/>
      <w:szCs w:val="52"/>
      <w:lang w:val="x-none" w:eastAsia="x-none"/>
    </w:rPr>
  </w:style>
  <w:style w:type="character" w:customStyle="1" w:styleId="NzevChar">
    <w:name w:val="Název Char"/>
    <w:link w:val="Nzev"/>
    <w:rsid w:val="00C21DF5"/>
    <w:rPr>
      <w:rFonts w:ascii="Arial" w:eastAsia="Times New Roman" w:hAnsi="Arial" w:cs="Times New Roman"/>
      <w:b/>
      <w:spacing w:val="5"/>
      <w:kern w:val="28"/>
      <w:sz w:val="36"/>
      <w:szCs w:val="52"/>
    </w:rPr>
  </w:style>
  <w:style w:type="character" w:customStyle="1" w:styleId="Nadpis3Char">
    <w:name w:val="Nadpis 3 Char"/>
    <w:link w:val="Nadpis3"/>
    <w:rsid w:val="00F27047"/>
    <w:rPr>
      <w:rFonts w:ascii="Arial" w:hAnsi="Arial"/>
      <w:bCs/>
      <w:sz w:val="24"/>
      <w:szCs w:val="26"/>
      <w:u w:val="single"/>
      <w:lang w:val="x-none" w:eastAsia="x-none"/>
    </w:rPr>
  </w:style>
  <w:style w:type="character" w:customStyle="1" w:styleId="Nadpis2Char">
    <w:name w:val="Nadpis 2 Char"/>
    <w:link w:val="Nadpis2"/>
    <w:rsid w:val="002540DF"/>
    <w:rPr>
      <w:rFonts w:ascii="Arial" w:hAnsi="Arial"/>
      <w:b/>
      <w:bCs/>
      <w:iCs/>
      <w:sz w:val="24"/>
      <w:szCs w:val="28"/>
      <w:u w:val="single"/>
      <w:lang w:eastAsia="x-none"/>
    </w:rPr>
  </w:style>
  <w:style w:type="paragraph" w:styleId="Nadpisobsahu">
    <w:name w:val="TOC Heading"/>
    <w:basedOn w:val="Nadpis1"/>
    <w:next w:val="Normln"/>
    <w:uiPriority w:val="39"/>
    <w:semiHidden/>
    <w:unhideWhenUsed/>
    <w:qFormat/>
    <w:rsid w:val="00C21DF5"/>
    <w:pPr>
      <w:keepLines/>
      <w:numPr>
        <w:numId w:val="0"/>
      </w:numPr>
      <w:spacing w:before="480" w:after="0" w:line="276" w:lineRule="auto"/>
      <w:jc w:val="left"/>
      <w:outlineLvl w:val="9"/>
    </w:pPr>
    <w:rPr>
      <w:rFonts w:ascii="Cambria" w:hAnsi="Cambria"/>
      <w:bCs/>
      <w:color w:val="365F91"/>
      <w:sz w:val="28"/>
      <w:szCs w:val="28"/>
    </w:rPr>
  </w:style>
  <w:style w:type="paragraph" w:styleId="Obsah1">
    <w:name w:val="toc 1"/>
    <w:basedOn w:val="Normln"/>
    <w:next w:val="Normln"/>
    <w:autoRedefine/>
    <w:uiPriority w:val="39"/>
    <w:rsid w:val="007827DA"/>
    <w:pPr>
      <w:tabs>
        <w:tab w:val="left" w:pos="1560"/>
        <w:tab w:val="right" w:leader="dot" w:pos="9373"/>
      </w:tabs>
      <w:spacing w:before="0" w:after="0"/>
      <w:ind w:left="851" w:hanging="284"/>
    </w:pPr>
  </w:style>
  <w:style w:type="paragraph" w:styleId="Obsah2">
    <w:name w:val="toc 2"/>
    <w:basedOn w:val="Normln"/>
    <w:next w:val="Normln"/>
    <w:autoRedefine/>
    <w:uiPriority w:val="39"/>
    <w:rsid w:val="007827DA"/>
    <w:pPr>
      <w:tabs>
        <w:tab w:val="right" w:leader="dot" w:pos="9356"/>
      </w:tabs>
      <w:spacing w:before="0" w:after="0"/>
      <w:ind w:left="1702" w:right="454" w:hanging="851"/>
    </w:pPr>
  </w:style>
  <w:style w:type="paragraph" w:styleId="Obsah3">
    <w:name w:val="toc 3"/>
    <w:basedOn w:val="Normln"/>
    <w:next w:val="Normln"/>
    <w:autoRedefine/>
    <w:uiPriority w:val="39"/>
    <w:rsid w:val="007827DA"/>
    <w:pPr>
      <w:tabs>
        <w:tab w:val="left" w:pos="1540"/>
        <w:tab w:val="right" w:leader="dot" w:pos="9373"/>
      </w:tabs>
      <w:spacing w:before="0" w:after="0"/>
      <w:ind w:left="1559" w:hanging="425"/>
    </w:pPr>
  </w:style>
  <w:style w:type="character" w:customStyle="1" w:styleId="Nadpis4Char">
    <w:name w:val="Nadpis 4 Char"/>
    <w:link w:val="Nadpis4"/>
    <w:semiHidden/>
    <w:rsid w:val="00155C07"/>
    <w:rPr>
      <w:rFonts w:ascii="Calibri" w:hAnsi="Calibri"/>
      <w:b/>
      <w:bCs/>
      <w:sz w:val="28"/>
      <w:szCs w:val="28"/>
      <w:lang w:val="x-none" w:eastAsia="x-none"/>
    </w:rPr>
  </w:style>
  <w:style w:type="character" w:customStyle="1" w:styleId="Nadpis5Char">
    <w:name w:val="Nadpis 5 Char"/>
    <w:link w:val="Nadpis5"/>
    <w:semiHidden/>
    <w:rsid w:val="00155C07"/>
    <w:rPr>
      <w:rFonts w:ascii="Calibri" w:hAnsi="Calibri"/>
      <w:b/>
      <w:bCs/>
      <w:i/>
      <w:iCs/>
      <w:sz w:val="26"/>
      <w:szCs w:val="26"/>
      <w:lang w:val="x-none" w:eastAsia="x-none"/>
    </w:rPr>
  </w:style>
  <w:style w:type="character" w:customStyle="1" w:styleId="Nadpis6Char">
    <w:name w:val="Nadpis 6 Char"/>
    <w:link w:val="Nadpis6"/>
    <w:semiHidden/>
    <w:rsid w:val="00155C07"/>
    <w:rPr>
      <w:rFonts w:ascii="Calibri" w:hAnsi="Calibri"/>
      <w:b/>
      <w:bCs/>
      <w:sz w:val="22"/>
      <w:szCs w:val="22"/>
      <w:lang w:val="x-none" w:eastAsia="x-none"/>
    </w:rPr>
  </w:style>
  <w:style w:type="character" w:customStyle="1" w:styleId="Nadpis7Char">
    <w:name w:val="Nadpis 7 Char"/>
    <w:link w:val="Nadpis7"/>
    <w:semiHidden/>
    <w:rsid w:val="00155C07"/>
    <w:rPr>
      <w:rFonts w:ascii="Calibri" w:hAnsi="Calibri"/>
      <w:sz w:val="24"/>
      <w:szCs w:val="24"/>
      <w:lang w:val="x-none" w:eastAsia="x-none"/>
    </w:rPr>
  </w:style>
  <w:style w:type="character" w:customStyle="1" w:styleId="Nadpis8Char">
    <w:name w:val="Nadpis 8 Char"/>
    <w:link w:val="Nadpis8"/>
    <w:semiHidden/>
    <w:rsid w:val="00155C07"/>
    <w:rPr>
      <w:rFonts w:ascii="Calibri" w:hAnsi="Calibri"/>
      <w:i/>
      <w:iCs/>
      <w:sz w:val="24"/>
      <w:szCs w:val="24"/>
      <w:lang w:val="x-none" w:eastAsia="x-none"/>
    </w:rPr>
  </w:style>
  <w:style w:type="character" w:customStyle="1" w:styleId="Nadpis9Char">
    <w:name w:val="Nadpis 9 Char"/>
    <w:link w:val="Nadpis9"/>
    <w:semiHidden/>
    <w:rsid w:val="00155C07"/>
    <w:rPr>
      <w:rFonts w:ascii="Cambria" w:hAnsi="Cambria"/>
      <w:sz w:val="22"/>
      <w:szCs w:val="22"/>
      <w:lang w:val="x-none" w:eastAsia="x-none"/>
    </w:rPr>
  </w:style>
  <w:style w:type="paragraph" w:customStyle="1" w:styleId="Zkladntext21">
    <w:name w:val="Základní text 21"/>
    <w:basedOn w:val="Normln"/>
    <w:rsid w:val="00702A3C"/>
    <w:pPr>
      <w:overflowPunct w:val="0"/>
      <w:autoSpaceDE w:val="0"/>
      <w:autoSpaceDN w:val="0"/>
      <w:adjustRightInd w:val="0"/>
      <w:ind w:firstLine="0"/>
      <w:jc w:val="left"/>
      <w:textAlignment w:val="baseline"/>
    </w:pPr>
    <w:rPr>
      <w:rFonts w:ascii="Times New Roman" w:hAnsi="Times New Roman"/>
      <w:szCs w:val="20"/>
      <w:lang w:val="de-DE"/>
    </w:rPr>
  </w:style>
  <w:style w:type="character" w:customStyle="1" w:styleId="ZkladntextChar">
    <w:name w:val="Základní text Char"/>
    <w:link w:val="Zkladntext"/>
    <w:rsid w:val="00D76654"/>
    <w:rPr>
      <w:rFonts w:ascii="Arial" w:hAnsi="Arial" w:cs="Arial"/>
      <w:sz w:val="24"/>
      <w:szCs w:val="24"/>
    </w:rPr>
  </w:style>
  <w:style w:type="paragraph" w:customStyle="1" w:styleId="Styl5">
    <w:name w:val="Styl5"/>
    <w:basedOn w:val="Normln"/>
    <w:autoRedefine/>
    <w:rsid w:val="00DB4A6D"/>
    <w:pPr>
      <w:spacing w:before="240"/>
      <w:ind w:firstLine="425"/>
    </w:pPr>
    <w:rPr>
      <w:rFonts w:cs="Arial"/>
      <w:b/>
      <w:sz w:val="26"/>
      <w:szCs w:val="26"/>
    </w:rPr>
  </w:style>
  <w:style w:type="paragraph" w:styleId="Zkladntextodsazen">
    <w:name w:val="Body Text Indent"/>
    <w:basedOn w:val="Normln"/>
    <w:link w:val="ZkladntextodsazenChar"/>
    <w:rsid w:val="0047467A"/>
    <w:pPr>
      <w:ind w:left="283"/>
    </w:pPr>
  </w:style>
  <w:style w:type="character" w:customStyle="1" w:styleId="ZkladntextodsazenChar">
    <w:name w:val="Základní text odsazený Char"/>
    <w:link w:val="Zkladntextodsazen"/>
    <w:rsid w:val="0047467A"/>
    <w:rPr>
      <w:rFonts w:ascii="Arial" w:hAnsi="Arial"/>
      <w:sz w:val="24"/>
      <w:szCs w:val="24"/>
    </w:rPr>
  </w:style>
  <w:style w:type="character" w:customStyle="1" w:styleId="ZhlavChar">
    <w:name w:val="Záhlaví Char"/>
    <w:link w:val="Zhlav"/>
    <w:rsid w:val="00FF6EC7"/>
    <w:rPr>
      <w:rFonts w:ascii="Arial" w:hAnsi="Arial"/>
      <w:sz w:val="24"/>
      <w:szCs w:val="24"/>
    </w:rPr>
  </w:style>
  <w:style w:type="paragraph" w:customStyle="1" w:styleId="Tabulka">
    <w:name w:val="Tabulka"/>
    <w:basedOn w:val="Normln"/>
    <w:link w:val="TabulkaChar"/>
    <w:qFormat/>
    <w:rsid w:val="002540DF"/>
    <w:pPr>
      <w:spacing w:before="0" w:after="0"/>
      <w:ind w:firstLine="0"/>
      <w:jc w:val="center"/>
    </w:pPr>
    <w:rPr>
      <w:rFonts w:cs="Arial"/>
      <w:sz w:val="20"/>
      <w:szCs w:val="20"/>
    </w:rPr>
  </w:style>
  <w:style w:type="character" w:customStyle="1" w:styleId="TabulkaChar">
    <w:name w:val="Tabulka Char"/>
    <w:link w:val="Tabulka"/>
    <w:rsid w:val="002540DF"/>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71616">
      <w:bodyDiv w:val="1"/>
      <w:marLeft w:val="0"/>
      <w:marRight w:val="0"/>
      <w:marTop w:val="0"/>
      <w:marBottom w:val="0"/>
      <w:divBdr>
        <w:top w:val="none" w:sz="0" w:space="0" w:color="auto"/>
        <w:left w:val="none" w:sz="0" w:space="0" w:color="auto"/>
        <w:bottom w:val="none" w:sz="0" w:space="0" w:color="auto"/>
        <w:right w:val="none" w:sz="0" w:space="0" w:color="auto"/>
      </w:divBdr>
    </w:div>
    <w:div w:id="19203326">
      <w:bodyDiv w:val="1"/>
      <w:marLeft w:val="0"/>
      <w:marRight w:val="0"/>
      <w:marTop w:val="0"/>
      <w:marBottom w:val="0"/>
      <w:divBdr>
        <w:top w:val="none" w:sz="0" w:space="0" w:color="auto"/>
        <w:left w:val="none" w:sz="0" w:space="0" w:color="auto"/>
        <w:bottom w:val="none" w:sz="0" w:space="0" w:color="auto"/>
        <w:right w:val="none" w:sz="0" w:space="0" w:color="auto"/>
      </w:divBdr>
    </w:div>
    <w:div w:id="41369828">
      <w:bodyDiv w:val="1"/>
      <w:marLeft w:val="0"/>
      <w:marRight w:val="0"/>
      <w:marTop w:val="0"/>
      <w:marBottom w:val="0"/>
      <w:divBdr>
        <w:top w:val="none" w:sz="0" w:space="0" w:color="auto"/>
        <w:left w:val="none" w:sz="0" w:space="0" w:color="auto"/>
        <w:bottom w:val="none" w:sz="0" w:space="0" w:color="auto"/>
        <w:right w:val="none" w:sz="0" w:space="0" w:color="auto"/>
      </w:divBdr>
    </w:div>
    <w:div w:id="49378487">
      <w:bodyDiv w:val="1"/>
      <w:marLeft w:val="0"/>
      <w:marRight w:val="0"/>
      <w:marTop w:val="0"/>
      <w:marBottom w:val="0"/>
      <w:divBdr>
        <w:top w:val="none" w:sz="0" w:space="0" w:color="auto"/>
        <w:left w:val="none" w:sz="0" w:space="0" w:color="auto"/>
        <w:bottom w:val="none" w:sz="0" w:space="0" w:color="auto"/>
        <w:right w:val="none" w:sz="0" w:space="0" w:color="auto"/>
      </w:divBdr>
    </w:div>
    <w:div w:id="69233048">
      <w:bodyDiv w:val="1"/>
      <w:marLeft w:val="0"/>
      <w:marRight w:val="0"/>
      <w:marTop w:val="0"/>
      <w:marBottom w:val="0"/>
      <w:divBdr>
        <w:top w:val="none" w:sz="0" w:space="0" w:color="auto"/>
        <w:left w:val="none" w:sz="0" w:space="0" w:color="auto"/>
        <w:bottom w:val="none" w:sz="0" w:space="0" w:color="auto"/>
        <w:right w:val="none" w:sz="0" w:space="0" w:color="auto"/>
      </w:divBdr>
    </w:div>
    <w:div w:id="75827178">
      <w:bodyDiv w:val="1"/>
      <w:marLeft w:val="0"/>
      <w:marRight w:val="0"/>
      <w:marTop w:val="0"/>
      <w:marBottom w:val="0"/>
      <w:divBdr>
        <w:top w:val="none" w:sz="0" w:space="0" w:color="auto"/>
        <w:left w:val="none" w:sz="0" w:space="0" w:color="auto"/>
        <w:bottom w:val="none" w:sz="0" w:space="0" w:color="auto"/>
        <w:right w:val="none" w:sz="0" w:space="0" w:color="auto"/>
      </w:divBdr>
    </w:div>
    <w:div w:id="84427550">
      <w:bodyDiv w:val="1"/>
      <w:marLeft w:val="0"/>
      <w:marRight w:val="0"/>
      <w:marTop w:val="0"/>
      <w:marBottom w:val="0"/>
      <w:divBdr>
        <w:top w:val="none" w:sz="0" w:space="0" w:color="auto"/>
        <w:left w:val="none" w:sz="0" w:space="0" w:color="auto"/>
        <w:bottom w:val="none" w:sz="0" w:space="0" w:color="auto"/>
        <w:right w:val="none" w:sz="0" w:space="0" w:color="auto"/>
      </w:divBdr>
    </w:div>
    <w:div w:id="116264981">
      <w:bodyDiv w:val="1"/>
      <w:marLeft w:val="0"/>
      <w:marRight w:val="0"/>
      <w:marTop w:val="0"/>
      <w:marBottom w:val="0"/>
      <w:divBdr>
        <w:top w:val="none" w:sz="0" w:space="0" w:color="auto"/>
        <w:left w:val="none" w:sz="0" w:space="0" w:color="auto"/>
        <w:bottom w:val="none" w:sz="0" w:space="0" w:color="auto"/>
        <w:right w:val="none" w:sz="0" w:space="0" w:color="auto"/>
      </w:divBdr>
    </w:div>
    <w:div w:id="116417531">
      <w:bodyDiv w:val="1"/>
      <w:marLeft w:val="0"/>
      <w:marRight w:val="0"/>
      <w:marTop w:val="0"/>
      <w:marBottom w:val="0"/>
      <w:divBdr>
        <w:top w:val="none" w:sz="0" w:space="0" w:color="auto"/>
        <w:left w:val="none" w:sz="0" w:space="0" w:color="auto"/>
        <w:bottom w:val="none" w:sz="0" w:space="0" w:color="auto"/>
        <w:right w:val="none" w:sz="0" w:space="0" w:color="auto"/>
      </w:divBdr>
    </w:div>
    <w:div w:id="116604958">
      <w:bodyDiv w:val="1"/>
      <w:marLeft w:val="0"/>
      <w:marRight w:val="0"/>
      <w:marTop w:val="0"/>
      <w:marBottom w:val="0"/>
      <w:divBdr>
        <w:top w:val="none" w:sz="0" w:space="0" w:color="auto"/>
        <w:left w:val="none" w:sz="0" w:space="0" w:color="auto"/>
        <w:bottom w:val="none" w:sz="0" w:space="0" w:color="auto"/>
        <w:right w:val="none" w:sz="0" w:space="0" w:color="auto"/>
      </w:divBdr>
    </w:div>
    <w:div w:id="121506544">
      <w:bodyDiv w:val="1"/>
      <w:marLeft w:val="0"/>
      <w:marRight w:val="0"/>
      <w:marTop w:val="0"/>
      <w:marBottom w:val="0"/>
      <w:divBdr>
        <w:top w:val="none" w:sz="0" w:space="0" w:color="auto"/>
        <w:left w:val="none" w:sz="0" w:space="0" w:color="auto"/>
        <w:bottom w:val="none" w:sz="0" w:space="0" w:color="auto"/>
        <w:right w:val="none" w:sz="0" w:space="0" w:color="auto"/>
      </w:divBdr>
    </w:div>
    <w:div w:id="176117526">
      <w:bodyDiv w:val="1"/>
      <w:marLeft w:val="0"/>
      <w:marRight w:val="0"/>
      <w:marTop w:val="0"/>
      <w:marBottom w:val="0"/>
      <w:divBdr>
        <w:top w:val="none" w:sz="0" w:space="0" w:color="auto"/>
        <w:left w:val="none" w:sz="0" w:space="0" w:color="auto"/>
        <w:bottom w:val="none" w:sz="0" w:space="0" w:color="auto"/>
        <w:right w:val="none" w:sz="0" w:space="0" w:color="auto"/>
      </w:divBdr>
    </w:div>
    <w:div w:id="216866973">
      <w:bodyDiv w:val="1"/>
      <w:marLeft w:val="0"/>
      <w:marRight w:val="0"/>
      <w:marTop w:val="0"/>
      <w:marBottom w:val="0"/>
      <w:divBdr>
        <w:top w:val="none" w:sz="0" w:space="0" w:color="auto"/>
        <w:left w:val="none" w:sz="0" w:space="0" w:color="auto"/>
        <w:bottom w:val="none" w:sz="0" w:space="0" w:color="auto"/>
        <w:right w:val="none" w:sz="0" w:space="0" w:color="auto"/>
      </w:divBdr>
    </w:div>
    <w:div w:id="221908402">
      <w:bodyDiv w:val="1"/>
      <w:marLeft w:val="0"/>
      <w:marRight w:val="0"/>
      <w:marTop w:val="0"/>
      <w:marBottom w:val="0"/>
      <w:divBdr>
        <w:top w:val="none" w:sz="0" w:space="0" w:color="auto"/>
        <w:left w:val="none" w:sz="0" w:space="0" w:color="auto"/>
        <w:bottom w:val="none" w:sz="0" w:space="0" w:color="auto"/>
        <w:right w:val="none" w:sz="0" w:space="0" w:color="auto"/>
      </w:divBdr>
    </w:div>
    <w:div w:id="259921512">
      <w:bodyDiv w:val="1"/>
      <w:marLeft w:val="0"/>
      <w:marRight w:val="0"/>
      <w:marTop w:val="0"/>
      <w:marBottom w:val="0"/>
      <w:divBdr>
        <w:top w:val="none" w:sz="0" w:space="0" w:color="auto"/>
        <w:left w:val="none" w:sz="0" w:space="0" w:color="auto"/>
        <w:bottom w:val="none" w:sz="0" w:space="0" w:color="auto"/>
        <w:right w:val="none" w:sz="0" w:space="0" w:color="auto"/>
      </w:divBdr>
    </w:div>
    <w:div w:id="261038785">
      <w:bodyDiv w:val="1"/>
      <w:marLeft w:val="0"/>
      <w:marRight w:val="0"/>
      <w:marTop w:val="0"/>
      <w:marBottom w:val="0"/>
      <w:divBdr>
        <w:top w:val="none" w:sz="0" w:space="0" w:color="auto"/>
        <w:left w:val="none" w:sz="0" w:space="0" w:color="auto"/>
        <w:bottom w:val="none" w:sz="0" w:space="0" w:color="auto"/>
        <w:right w:val="none" w:sz="0" w:space="0" w:color="auto"/>
      </w:divBdr>
    </w:div>
    <w:div w:id="262955534">
      <w:bodyDiv w:val="1"/>
      <w:marLeft w:val="0"/>
      <w:marRight w:val="0"/>
      <w:marTop w:val="0"/>
      <w:marBottom w:val="0"/>
      <w:divBdr>
        <w:top w:val="none" w:sz="0" w:space="0" w:color="auto"/>
        <w:left w:val="none" w:sz="0" w:space="0" w:color="auto"/>
        <w:bottom w:val="none" w:sz="0" w:space="0" w:color="auto"/>
        <w:right w:val="none" w:sz="0" w:space="0" w:color="auto"/>
      </w:divBdr>
    </w:div>
    <w:div w:id="268315068">
      <w:bodyDiv w:val="1"/>
      <w:marLeft w:val="0"/>
      <w:marRight w:val="0"/>
      <w:marTop w:val="0"/>
      <w:marBottom w:val="0"/>
      <w:divBdr>
        <w:top w:val="none" w:sz="0" w:space="0" w:color="auto"/>
        <w:left w:val="none" w:sz="0" w:space="0" w:color="auto"/>
        <w:bottom w:val="none" w:sz="0" w:space="0" w:color="auto"/>
        <w:right w:val="none" w:sz="0" w:space="0" w:color="auto"/>
      </w:divBdr>
    </w:div>
    <w:div w:id="333923214">
      <w:bodyDiv w:val="1"/>
      <w:marLeft w:val="0"/>
      <w:marRight w:val="0"/>
      <w:marTop w:val="0"/>
      <w:marBottom w:val="0"/>
      <w:divBdr>
        <w:top w:val="none" w:sz="0" w:space="0" w:color="auto"/>
        <w:left w:val="none" w:sz="0" w:space="0" w:color="auto"/>
        <w:bottom w:val="none" w:sz="0" w:space="0" w:color="auto"/>
        <w:right w:val="none" w:sz="0" w:space="0" w:color="auto"/>
      </w:divBdr>
    </w:div>
    <w:div w:id="351879332">
      <w:bodyDiv w:val="1"/>
      <w:marLeft w:val="0"/>
      <w:marRight w:val="0"/>
      <w:marTop w:val="0"/>
      <w:marBottom w:val="0"/>
      <w:divBdr>
        <w:top w:val="none" w:sz="0" w:space="0" w:color="auto"/>
        <w:left w:val="none" w:sz="0" w:space="0" w:color="auto"/>
        <w:bottom w:val="none" w:sz="0" w:space="0" w:color="auto"/>
        <w:right w:val="none" w:sz="0" w:space="0" w:color="auto"/>
      </w:divBdr>
    </w:div>
    <w:div w:id="356394747">
      <w:bodyDiv w:val="1"/>
      <w:marLeft w:val="0"/>
      <w:marRight w:val="0"/>
      <w:marTop w:val="0"/>
      <w:marBottom w:val="0"/>
      <w:divBdr>
        <w:top w:val="none" w:sz="0" w:space="0" w:color="auto"/>
        <w:left w:val="none" w:sz="0" w:space="0" w:color="auto"/>
        <w:bottom w:val="none" w:sz="0" w:space="0" w:color="auto"/>
        <w:right w:val="none" w:sz="0" w:space="0" w:color="auto"/>
      </w:divBdr>
    </w:div>
    <w:div w:id="415826160">
      <w:bodyDiv w:val="1"/>
      <w:marLeft w:val="0"/>
      <w:marRight w:val="0"/>
      <w:marTop w:val="0"/>
      <w:marBottom w:val="0"/>
      <w:divBdr>
        <w:top w:val="none" w:sz="0" w:space="0" w:color="auto"/>
        <w:left w:val="none" w:sz="0" w:space="0" w:color="auto"/>
        <w:bottom w:val="none" w:sz="0" w:space="0" w:color="auto"/>
        <w:right w:val="none" w:sz="0" w:space="0" w:color="auto"/>
      </w:divBdr>
    </w:div>
    <w:div w:id="426535266">
      <w:bodyDiv w:val="1"/>
      <w:marLeft w:val="0"/>
      <w:marRight w:val="0"/>
      <w:marTop w:val="0"/>
      <w:marBottom w:val="0"/>
      <w:divBdr>
        <w:top w:val="none" w:sz="0" w:space="0" w:color="auto"/>
        <w:left w:val="none" w:sz="0" w:space="0" w:color="auto"/>
        <w:bottom w:val="none" w:sz="0" w:space="0" w:color="auto"/>
        <w:right w:val="none" w:sz="0" w:space="0" w:color="auto"/>
      </w:divBdr>
    </w:div>
    <w:div w:id="433986302">
      <w:bodyDiv w:val="1"/>
      <w:marLeft w:val="0"/>
      <w:marRight w:val="0"/>
      <w:marTop w:val="0"/>
      <w:marBottom w:val="0"/>
      <w:divBdr>
        <w:top w:val="none" w:sz="0" w:space="0" w:color="auto"/>
        <w:left w:val="none" w:sz="0" w:space="0" w:color="auto"/>
        <w:bottom w:val="none" w:sz="0" w:space="0" w:color="auto"/>
        <w:right w:val="none" w:sz="0" w:space="0" w:color="auto"/>
      </w:divBdr>
    </w:div>
    <w:div w:id="441733193">
      <w:bodyDiv w:val="1"/>
      <w:marLeft w:val="0"/>
      <w:marRight w:val="0"/>
      <w:marTop w:val="0"/>
      <w:marBottom w:val="0"/>
      <w:divBdr>
        <w:top w:val="none" w:sz="0" w:space="0" w:color="auto"/>
        <w:left w:val="none" w:sz="0" w:space="0" w:color="auto"/>
        <w:bottom w:val="none" w:sz="0" w:space="0" w:color="auto"/>
        <w:right w:val="none" w:sz="0" w:space="0" w:color="auto"/>
      </w:divBdr>
    </w:div>
    <w:div w:id="449059293">
      <w:bodyDiv w:val="1"/>
      <w:marLeft w:val="0"/>
      <w:marRight w:val="0"/>
      <w:marTop w:val="0"/>
      <w:marBottom w:val="0"/>
      <w:divBdr>
        <w:top w:val="none" w:sz="0" w:space="0" w:color="auto"/>
        <w:left w:val="none" w:sz="0" w:space="0" w:color="auto"/>
        <w:bottom w:val="none" w:sz="0" w:space="0" w:color="auto"/>
        <w:right w:val="none" w:sz="0" w:space="0" w:color="auto"/>
      </w:divBdr>
    </w:div>
    <w:div w:id="451480666">
      <w:bodyDiv w:val="1"/>
      <w:marLeft w:val="0"/>
      <w:marRight w:val="0"/>
      <w:marTop w:val="0"/>
      <w:marBottom w:val="0"/>
      <w:divBdr>
        <w:top w:val="none" w:sz="0" w:space="0" w:color="auto"/>
        <w:left w:val="none" w:sz="0" w:space="0" w:color="auto"/>
        <w:bottom w:val="none" w:sz="0" w:space="0" w:color="auto"/>
        <w:right w:val="none" w:sz="0" w:space="0" w:color="auto"/>
      </w:divBdr>
    </w:div>
    <w:div w:id="461769925">
      <w:bodyDiv w:val="1"/>
      <w:marLeft w:val="0"/>
      <w:marRight w:val="0"/>
      <w:marTop w:val="0"/>
      <w:marBottom w:val="0"/>
      <w:divBdr>
        <w:top w:val="none" w:sz="0" w:space="0" w:color="auto"/>
        <w:left w:val="none" w:sz="0" w:space="0" w:color="auto"/>
        <w:bottom w:val="none" w:sz="0" w:space="0" w:color="auto"/>
        <w:right w:val="none" w:sz="0" w:space="0" w:color="auto"/>
      </w:divBdr>
    </w:div>
    <w:div w:id="513954593">
      <w:bodyDiv w:val="1"/>
      <w:marLeft w:val="0"/>
      <w:marRight w:val="0"/>
      <w:marTop w:val="0"/>
      <w:marBottom w:val="0"/>
      <w:divBdr>
        <w:top w:val="none" w:sz="0" w:space="0" w:color="auto"/>
        <w:left w:val="none" w:sz="0" w:space="0" w:color="auto"/>
        <w:bottom w:val="none" w:sz="0" w:space="0" w:color="auto"/>
        <w:right w:val="none" w:sz="0" w:space="0" w:color="auto"/>
      </w:divBdr>
    </w:div>
    <w:div w:id="514154446">
      <w:bodyDiv w:val="1"/>
      <w:marLeft w:val="0"/>
      <w:marRight w:val="0"/>
      <w:marTop w:val="0"/>
      <w:marBottom w:val="0"/>
      <w:divBdr>
        <w:top w:val="none" w:sz="0" w:space="0" w:color="auto"/>
        <w:left w:val="none" w:sz="0" w:space="0" w:color="auto"/>
        <w:bottom w:val="none" w:sz="0" w:space="0" w:color="auto"/>
        <w:right w:val="none" w:sz="0" w:space="0" w:color="auto"/>
      </w:divBdr>
    </w:div>
    <w:div w:id="523520839">
      <w:bodyDiv w:val="1"/>
      <w:marLeft w:val="0"/>
      <w:marRight w:val="0"/>
      <w:marTop w:val="0"/>
      <w:marBottom w:val="0"/>
      <w:divBdr>
        <w:top w:val="none" w:sz="0" w:space="0" w:color="auto"/>
        <w:left w:val="none" w:sz="0" w:space="0" w:color="auto"/>
        <w:bottom w:val="none" w:sz="0" w:space="0" w:color="auto"/>
        <w:right w:val="none" w:sz="0" w:space="0" w:color="auto"/>
      </w:divBdr>
    </w:div>
    <w:div w:id="531576718">
      <w:bodyDiv w:val="1"/>
      <w:marLeft w:val="0"/>
      <w:marRight w:val="0"/>
      <w:marTop w:val="0"/>
      <w:marBottom w:val="0"/>
      <w:divBdr>
        <w:top w:val="none" w:sz="0" w:space="0" w:color="auto"/>
        <w:left w:val="none" w:sz="0" w:space="0" w:color="auto"/>
        <w:bottom w:val="none" w:sz="0" w:space="0" w:color="auto"/>
        <w:right w:val="none" w:sz="0" w:space="0" w:color="auto"/>
      </w:divBdr>
    </w:div>
    <w:div w:id="556473895">
      <w:bodyDiv w:val="1"/>
      <w:marLeft w:val="0"/>
      <w:marRight w:val="0"/>
      <w:marTop w:val="0"/>
      <w:marBottom w:val="0"/>
      <w:divBdr>
        <w:top w:val="none" w:sz="0" w:space="0" w:color="auto"/>
        <w:left w:val="none" w:sz="0" w:space="0" w:color="auto"/>
        <w:bottom w:val="none" w:sz="0" w:space="0" w:color="auto"/>
        <w:right w:val="none" w:sz="0" w:space="0" w:color="auto"/>
      </w:divBdr>
    </w:div>
    <w:div w:id="590436390">
      <w:bodyDiv w:val="1"/>
      <w:marLeft w:val="0"/>
      <w:marRight w:val="0"/>
      <w:marTop w:val="0"/>
      <w:marBottom w:val="0"/>
      <w:divBdr>
        <w:top w:val="none" w:sz="0" w:space="0" w:color="auto"/>
        <w:left w:val="none" w:sz="0" w:space="0" w:color="auto"/>
        <w:bottom w:val="none" w:sz="0" w:space="0" w:color="auto"/>
        <w:right w:val="none" w:sz="0" w:space="0" w:color="auto"/>
      </w:divBdr>
    </w:div>
    <w:div w:id="604964375">
      <w:bodyDiv w:val="1"/>
      <w:marLeft w:val="0"/>
      <w:marRight w:val="0"/>
      <w:marTop w:val="0"/>
      <w:marBottom w:val="0"/>
      <w:divBdr>
        <w:top w:val="none" w:sz="0" w:space="0" w:color="auto"/>
        <w:left w:val="none" w:sz="0" w:space="0" w:color="auto"/>
        <w:bottom w:val="none" w:sz="0" w:space="0" w:color="auto"/>
        <w:right w:val="none" w:sz="0" w:space="0" w:color="auto"/>
      </w:divBdr>
    </w:div>
    <w:div w:id="640110588">
      <w:bodyDiv w:val="1"/>
      <w:marLeft w:val="0"/>
      <w:marRight w:val="0"/>
      <w:marTop w:val="0"/>
      <w:marBottom w:val="0"/>
      <w:divBdr>
        <w:top w:val="none" w:sz="0" w:space="0" w:color="auto"/>
        <w:left w:val="none" w:sz="0" w:space="0" w:color="auto"/>
        <w:bottom w:val="none" w:sz="0" w:space="0" w:color="auto"/>
        <w:right w:val="none" w:sz="0" w:space="0" w:color="auto"/>
      </w:divBdr>
    </w:div>
    <w:div w:id="665741164">
      <w:bodyDiv w:val="1"/>
      <w:marLeft w:val="0"/>
      <w:marRight w:val="0"/>
      <w:marTop w:val="0"/>
      <w:marBottom w:val="0"/>
      <w:divBdr>
        <w:top w:val="none" w:sz="0" w:space="0" w:color="auto"/>
        <w:left w:val="none" w:sz="0" w:space="0" w:color="auto"/>
        <w:bottom w:val="none" w:sz="0" w:space="0" w:color="auto"/>
        <w:right w:val="none" w:sz="0" w:space="0" w:color="auto"/>
      </w:divBdr>
    </w:div>
    <w:div w:id="679936877">
      <w:bodyDiv w:val="1"/>
      <w:marLeft w:val="0"/>
      <w:marRight w:val="0"/>
      <w:marTop w:val="0"/>
      <w:marBottom w:val="0"/>
      <w:divBdr>
        <w:top w:val="none" w:sz="0" w:space="0" w:color="auto"/>
        <w:left w:val="none" w:sz="0" w:space="0" w:color="auto"/>
        <w:bottom w:val="none" w:sz="0" w:space="0" w:color="auto"/>
        <w:right w:val="none" w:sz="0" w:space="0" w:color="auto"/>
      </w:divBdr>
    </w:div>
    <w:div w:id="688868957">
      <w:bodyDiv w:val="1"/>
      <w:marLeft w:val="0"/>
      <w:marRight w:val="0"/>
      <w:marTop w:val="0"/>
      <w:marBottom w:val="0"/>
      <w:divBdr>
        <w:top w:val="none" w:sz="0" w:space="0" w:color="auto"/>
        <w:left w:val="none" w:sz="0" w:space="0" w:color="auto"/>
        <w:bottom w:val="none" w:sz="0" w:space="0" w:color="auto"/>
        <w:right w:val="none" w:sz="0" w:space="0" w:color="auto"/>
      </w:divBdr>
    </w:div>
    <w:div w:id="746654612">
      <w:bodyDiv w:val="1"/>
      <w:marLeft w:val="0"/>
      <w:marRight w:val="0"/>
      <w:marTop w:val="0"/>
      <w:marBottom w:val="0"/>
      <w:divBdr>
        <w:top w:val="none" w:sz="0" w:space="0" w:color="auto"/>
        <w:left w:val="none" w:sz="0" w:space="0" w:color="auto"/>
        <w:bottom w:val="none" w:sz="0" w:space="0" w:color="auto"/>
        <w:right w:val="none" w:sz="0" w:space="0" w:color="auto"/>
      </w:divBdr>
    </w:div>
    <w:div w:id="765999368">
      <w:bodyDiv w:val="1"/>
      <w:marLeft w:val="0"/>
      <w:marRight w:val="0"/>
      <w:marTop w:val="0"/>
      <w:marBottom w:val="0"/>
      <w:divBdr>
        <w:top w:val="none" w:sz="0" w:space="0" w:color="auto"/>
        <w:left w:val="none" w:sz="0" w:space="0" w:color="auto"/>
        <w:bottom w:val="none" w:sz="0" w:space="0" w:color="auto"/>
        <w:right w:val="none" w:sz="0" w:space="0" w:color="auto"/>
      </w:divBdr>
    </w:div>
    <w:div w:id="778529680">
      <w:bodyDiv w:val="1"/>
      <w:marLeft w:val="0"/>
      <w:marRight w:val="0"/>
      <w:marTop w:val="0"/>
      <w:marBottom w:val="0"/>
      <w:divBdr>
        <w:top w:val="none" w:sz="0" w:space="0" w:color="auto"/>
        <w:left w:val="none" w:sz="0" w:space="0" w:color="auto"/>
        <w:bottom w:val="none" w:sz="0" w:space="0" w:color="auto"/>
        <w:right w:val="none" w:sz="0" w:space="0" w:color="auto"/>
      </w:divBdr>
    </w:div>
    <w:div w:id="809782188">
      <w:bodyDiv w:val="1"/>
      <w:marLeft w:val="0"/>
      <w:marRight w:val="0"/>
      <w:marTop w:val="0"/>
      <w:marBottom w:val="0"/>
      <w:divBdr>
        <w:top w:val="none" w:sz="0" w:space="0" w:color="auto"/>
        <w:left w:val="none" w:sz="0" w:space="0" w:color="auto"/>
        <w:bottom w:val="none" w:sz="0" w:space="0" w:color="auto"/>
        <w:right w:val="none" w:sz="0" w:space="0" w:color="auto"/>
      </w:divBdr>
    </w:div>
    <w:div w:id="817767518">
      <w:bodyDiv w:val="1"/>
      <w:marLeft w:val="0"/>
      <w:marRight w:val="0"/>
      <w:marTop w:val="0"/>
      <w:marBottom w:val="0"/>
      <w:divBdr>
        <w:top w:val="none" w:sz="0" w:space="0" w:color="auto"/>
        <w:left w:val="none" w:sz="0" w:space="0" w:color="auto"/>
        <w:bottom w:val="none" w:sz="0" w:space="0" w:color="auto"/>
        <w:right w:val="none" w:sz="0" w:space="0" w:color="auto"/>
      </w:divBdr>
    </w:div>
    <w:div w:id="844398485">
      <w:bodyDiv w:val="1"/>
      <w:marLeft w:val="0"/>
      <w:marRight w:val="0"/>
      <w:marTop w:val="0"/>
      <w:marBottom w:val="0"/>
      <w:divBdr>
        <w:top w:val="none" w:sz="0" w:space="0" w:color="auto"/>
        <w:left w:val="none" w:sz="0" w:space="0" w:color="auto"/>
        <w:bottom w:val="none" w:sz="0" w:space="0" w:color="auto"/>
        <w:right w:val="none" w:sz="0" w:space="0" w:color="auto"/>
      </w:divBdr>
    </w:div>
    <w:div w:id="857239350">
      <w:bodyDiv w:val="1"/>
      <w:marLeft w:val="0"/>
      <w:marRight w:val="0"/>
      <w:marTop w:val="0"/>
      <w:marBottom w:val="0"/>
      <w:divBdr>
        <w:top w:val="none" w:sz="0" w:space="0" w:color="auto"/>
        <w:left w:val="none" w:sz="0" w:space="0" w:color="auto"/>
        <w:bottom w:val="none" w:sz="0" w:space="0" w:color="auto"/>
        <w:right w:val="none" w:sz="0" w:space="0" w:color="auto"/>
      </w:divBdr>
    </w:div>
    <w:div w:id="857501696">
      <w:bodyDiv w:val="1"/>
      <w:marLeft w:val="0"/>
      <w:marRight w:val="0"/>
      <w:marTop w:val="0"/>
      <w:marBottom w:val="0"/>
      <w:divBdr>
        <w:top w:val="none" w:sz="0" w:space="0" w:color="auto"/>
        <w:left w:val="none" w:sz="0" w:space="0" w:color="auto"/>
        <w:bottom w:val="none" w:sz="0" w:space="0" w:color="auto"/>
        <w:right w:val="none" w:sz="0" w:space="0" w:color="auto"/>
      </w:divBdr>
    </w:div>
    <w:div w:id="858665601">
      <w:bodyDiv w:val="1"/>
      <w:marLeft w:val="0"/>
      <w:marRight w:val="0"/>
      <w:marTop w:val="0"/>
      <w:marBottom w:val="0"/>
      <w:divBdr>
        <w:top w:val="none" w:sz="0" w:space="0" w:color="auto"/>
        <w:left w:val="none" w:sz="0" w:space="0" w:color="auto"/>
        <w:bottom w:val="none" w:sz="0" w:space="0" w:color="auto"/>
        <w:right w:val="none" w:sz="0" w:space="0" w:color="auto"/>
      </w:divBdr>
    </w:div>
    <w:div w:id="867329761">
      <w:bodyDiv w:val="1"/>
      <w:marLeft w:val="0"/>
      <w:marRight w:val="0"/>
      <w:marTop w:val="0"/>
      <w:marBottom w:val="0"/>
      <w:divBdr>
        <w:top w:val="none" w:sz="0" w:space="0" w:color="auto"/>
        <w:left w:val="none" w:sz="0" w:space="0" w:color="auto"/>
        <w:bottom w:val="none" w:sz="0" w:space="0" w:color="auto"/>
        <w:right w:val="none" w:sz="0" w:space="0" w:color="auto"/>
      </w:divBdr>
    </w:div>
    <w:div w:id="870844339">
      <w:bodyDiv w:val="1"/>
      <w:marLeft w:val="0"/>
      <w:marRight w:val="0"/>
      <w:marTop w:val="0"/>
      <w:marBottom w:val="0"/>
      <w:divBdr>
        <w:top w:val="none" w:sz="0" w:space="0" w:color="auto"/>
        <w:left w:val="none" w:sz="0" w:space="0" w:color="auto"/>
        <w:bottom w:val="none" w:sz="0" w:space="0" w:color="auto"/>
        <w:right w:val="none" w:sz="0" w:space="0" w:color="auto"/>
      </w:divBdr>
    </w:div>
    <w:div w:id="899435761">
      <w:bodyDiv w:val="1"/>
      <w:marLeft w:val="0"/>
      <w:marRight w:val="0"/>
      <w:marTop w:val="0"/>
      <w:marBottom w:val="0"/>
      <w:divBdr>
        <w:top w:val="none" w:sz="0" w:space="0" w:color="auto"/>
        <w:left w:val="none" w:sz="0" w:space="0" w:color="auto"/>
        <w:bottom w:val="none" w:sz="0" w:space="0" w:color="auto"/>
        <w:right w:val="none" w:sz="0" w:space="0" w:color="auto"/>
      </w:divBdr>
    </w:div>
    <w:div w:id="921331084">
      <w:bodyDiv w:val="1"/>
      <w:marLeft w:val="0"/>
      <w:marRight w:val="0"/>
      <w:marTop w:val="0"/>
      <w:marBottom w:val="0"/>
      <w:divBdr>
        <w:top w:val="none" w:sz="0" w:space="0" w:color="auto"/>
        <w:left w:val="none" w:sz="0" w:space="0" w:color="auto"/>
        <w:bottom w:val="none" w:sz="0" w:space="0" w:color="auto"/>
        <w:right w:val="none" w:sz="0" w:space="0" w:color="auto"/>
      </w:divBdr>
    </w:div>
    <w:div w:id="923227645">
      <w:bodyDiv w:val="1"/>
      <w:marLeft w:val="0"/>
      <w:marRight w:val="0"/>
      <w:marTop w:val="0"/>
      <w:marBottom w:val="0"/>
      <w:divBdr>
        <w:top w:val="none" w:sz="0" w:space="0" w:color="auto"/>
        <w:left w:val="none" w:sz="0" w:space="0" w:color="auto"/>
        <w:bottom w:val="none" w:sz="0" w:space="0" w:color="auto"/>
        <w:right w:val="none" w:sz="0" w:space="0" w:color="auto"/>
      </w:divBdr>
    </w:div>
    <w:div w:id="947003131">
      <w:bodyDiv w:val="1"/>
      <w:marLeft w:val="0"/>
      <w:marRight w:val="0"/>
      <w:marTop w:val="0"/>
      <w:marBottom w:val="0"/>
      <w:divBdr>
        <w:top w:val="none" w:sz="0" w:space="0" w:color="auto"/>
        <w:left w:val="none" w:sz="0" w:space="0" w:color="auto"/>
        <w:bottom w:val="none" w:sz="0" w:space="0" w:color="auto"/>
        <w:right w:val="none" w:sz="0" w:space="0" w:color="auto"/>
      </w:divBdr>
    </w:div>
    <w:div w:id="960495765">
      <w:bodyDiv w:val="1"/>
      <w:marLeft w:val="0"/>
      <w:marRight w:val="0"/>
      <w:marTop w:val="0"/>
      <w:marBottom w:val="0"/>
      <w:divBdr>
        <w:top w:val="none" w:sz="0" w:space="0" w:color="auto"/>
        <w:left w:val="none" w:sz="0" w:space="0" w:color="auto"/>
        <w:bottom w:val="none" w:sz="0" w:space="0" w:color="auto"/>
        <w:right w:val="none" w:sz="0" w:space="0" w:color="auto"/>
      </w:divBdr>
    </w:div>
    <w:div w:id="989746844">
      <w:bodyDiv w:val="1"/>
      <w:marLeft w:val="0"/>
      <w:marRight w:val="0"/>
      <w:marTop w:val="0"/>
      <w:marBottom w:val="0"/>
      <w:divBdr>
        <w:top w:val="none" w:sz="0" w:space="0" w:color="auto"/>
        <w:left w:val="none" w:sz="0" w:space="0" w:color="auto"/>
        <w:bottom w:val="none" w:sz="0" w:space="0" w:color="auto"/>
        <w:right w:val="none" w:sz="0" w:space="0" w:color="auto"/>
      </w:divBdr>
    </w:div>
    <w:div w:id="1019235538">
      <w:bodyDiv w:val="1"/>
      <w:marLeft w:val="0"/>
      <w:marRight w:val="0"/>
      <w:marTop w:val="0"/>
      <w:marBottom w:val="0"/>
      <w:divBdr>
        <w:top w:val="none" w:sz="0" w:space="0" w:color="auto"/>
        <w:left w:val="none" w:sz="0" w:space="0" w:color="auto"/>
        <w:bottom w:val="none" w:sz="0" w:space="0" w:color="auto"/>
        <w:right w:val="none" w:sz="0" w:space="0" w:color="auto"/>
      </w:divBdr>
    </w:div>
    <w:div w:id="1058938991">
      <w:bodyDiv w:val="1"/>
      <w:marLeft w:val="0"/>
      <w:marRight w:val="0"/>
      <w:marTop w:val="0"/>
      <w:marBottom w:val="0"/>
      <w:divBdr>
        <w:top w:val="none" w:sz="0" w:space="0" w:color="auto"/>
        <w:left w:val="none" w:sz="0" w:space="0" w:color="auto"/>
        <w:bottom w:val="none" w:sz="0" w:space="0" w:color="auto"/>
        <w:right w:val="none" w:sz="0" w:space="0" w:color="auto"/>
      </w:divBdr>
    </w:div>
    <w:div w:id="1071851237">
      <w:bodyDiv w:val="1"/>
      <w:marLeft w:val="0"/>
      <w:marRight w:val="0"/>
      <w:marTop w:val="0"/>
      <w:marBottom w:val="0"/>
      <w:divBdr>
        <w:top w:val="none" w:sz="0" w:space="0" w:color="auto"/>
        <w:left w:val="none" w:sz="0" w:space="0" w:color="auto"/>
        <w:bottom w:val="none" w:sz="0" w:space="0" w:color="auto"/>
        <w:right w:val="none" w:sz="0" w:space="0" w:color="auto"/>
      </w:divBdr>
    </w:div>
    <w:div w:id="1118068370">
      <w:bodyDiv w:val="1"/>
      <w:marLeft w:val="0"/>
      <w:marRight w:val="0"/>
      <w:marTop w:val="0"/>
      <w:marBottom w:val="0"/>
      <w:divBdr>
        <w:top w:val="none" w:sz="0" w:space="0" w:color="auto"/>
        <w:left w:val="none" w:sz="0" w:space="0" w:color="auto"/>
        <w:bottom w:val="none" w:sz="0" w:space="0" w:color="auto"/>
        <w:right w:val="none" w:sz="0" w:space="0" w:color="auto"/>
      </w:divBdr>
    </w:div>
    <w:div w:id="1124467698">
      <w:bodyDiv w:val="1"/>
      <w:marLeft w:val="0"/>
      <w:marRight w:val="0"/>
      <w:marTop w:val="0"/>
      <w:marBottom w:val="0"/>
      <w:divBdr>
        <w:top w:val="none" w:sz="0" w:space="0" w:color="auto"/>
        <w:left w:val="none" w:sz="0" w:space="0" w:color="auto"/>
        <w:bottom w:val="none" w:sz="0" w:space="0" w:color="auto"/>
        <w:right w:val="none" w:sz="0" w:space="0" w:color="auto"/>
      </w:divBdr>
    </w:div>
    <w:div w:id="1133014264">
      <w:bodyDiv w:val="1"/>
      <w:marLeft w:val="0"/>
      <w:marRight w:val="0"/>
      <w:marTop w:val="0"/>
      <w:marBottom w:val="0"/>
      <w:divBdr>
        <w:top w:val="none" w:sz="0" w:space="0" w:color="auto"/>
        <w:left w:val="none" w:sz="0" w:space="0" w:color="auto"/>
        <w:bottom w:val="none" w:sz="0" w:space="0" w:color="auto"/>
        <w:right w:val="none" w:sz="0" w:space="0" w:color="auto"/>
      </w:divBdr>
    </w:div>
    <w:div w:id="1174802146">
      <w:bodyDiv w:val="1"/>
      <w:marLeft w:val="0"/>
      <w:marRight w:val="0"/>
      <w:marTop w:val="0"/>
      <w:marBottom w:val="0"/>
      <w:divBdr>
        <w:top w:val="none" w:sz="0" w:space="0" w:color="auto"/>
        <w:left w:val="none" w:sz="0" w:space="0" w:color="auto"/>
        <w:bottom w:val="none" w:sz="0" w:space="0" w:color="auto"/>
        <w:right w:val="none" w:sz="0" w:space="0" w:color="auto"/>
      </w:divBdr>
    </w:div>
    <w:div w:id="1186551924">
      <w:bodyDiv w:val="1"/>
      <w:marLeft w:val="0"/>
      <w:marRight w:val="0"/>
      <w:marTop w:val="0"/>
      <w:marBottom w:val="0"/>
      <w:divBdr>
        <w:top w:val="none" w:sz="0" w:space="0" w:color="auto"/>
        <w:left w:val="none" w:sz="0" w:space="0" w:color="auto"/>
        <w:bottom w:val="none" w:sz="0" w:space="0" w:color="auto"/>
        <w:right w:val="none" w:sz="0" w:space="0" w:color="auto"/>
      </w:divBdr>
    </w:div>
    <w:div w:id="1187450715">
      <w:bodyDiv w:val="1"/>
      <w:marLeft w:val="0"/>
      <w:marRight w:val="0"/>
      <w:marTop w:val="0"/>
      <w:marBottom w:val="0"/>
      <w:divBdr>
        <w:top w:val="none" w:sz="0" w:space="0" w:color="auto"/>
        <w:left w:val="none" w:sz="0" w:space="0" w:color="auto"/>
        <w:bottom w:val="none" w:sz="0" w:space="0" w:color="auto"/>
        <w:right w:val="none" w:sz="0" w:space="0" w:color="auto"/>
      </w:divBdr>
    </w:div>
    <w:div w:id="1207641884">
      <w:bodyDiv w:val="1"/>
      <w:marLeft w:val="0"/>
      <w:marRight w:val="0"/>
      <w:marTop w:val="0"/>
      <w:marBottom w:val="0"/>
      <w:divBdr>
        <w:top w:val="none" w:sz="0" w:space="0" w:color="auto"/>
        <w:left w:val="none" w:sz="0" w:space="0" w:color="auto"/>
        <w:bottom w:val="none" w:sz="0" w:space="0" w:color="auto"/>
        <w:right w:val="none" w:sz="0" w:space="0" w:color="auto"/>
      </w:divBdr>
    </w:div>
    <w:div w:id="1232273957">
      <w:bodyDiv w:val="1"/>
      <w:marLeft w:val="0"/>
      <w:marRight w:val="0"/>
      <w:marTop w:val="0"/>
      <w:marBottom w:val="0"/>
      <w:divBdr>
        <w:top w:val="none" w:sz="0" w:space="0" w:color="auto"/>
        <w:left w:val="none" w:sz="0" w:space="0" w:color="auto"/>
        <w:bottom w:val="none" w:sz="0" w:space="0" w:color="auto"/>
        <w:right w:val="none" w:sz="0" w:space="0" w:color="auto"/>
      </w:divBdr>
    </w:div>
    <w:div w:id="1269046197">
      <w:bodyDiv w:val="1"/>
      <w:marLeft w:val="0"/>
      <w:marRight w:val="0"/>
      <w:marTop w:val="0"/>
      <w:marBottom w:val="0"/>
      <w:divBdr>
        <w:top w:val="none" w:sz="0" w:space="0" w:color="auto"/>
        <w:left w:val="none" w:sz="0" w:space="0" w:color="auto"/>
        <w:bottom w:val="none" w:sz="0" w:space="0" w:color="auto"/>
        <w:right w:val="none" w:sz="0" w:space="0" w:color="auto"/>
      </w:divBdr>
    </w:div>
    <w:div w:id="1329014620">
      <w:bodyDiv w:val="1"/>
      <w:marLeft w:val="0"/>
      <w:marRight w:val="0"/>
      <w:marTop w:val="0"/>
      <w:marBottom w:val="0"/>
      <w:divBdr>
        <w:top w:val="none" w:sz="0" w:space="0" w:color="auto"/>
        <w:left w:val="none" w:sz="0" w:space="0" w:color="auto"/>
        <w:bottom w:val="none" w:sz="0" w:space="0" w:color="auto"/>
        <w:right w:val="none" w:sz="0" w:space="0" w:color="auto"/>
      </w:divBdr>
    </w:div>
    <w:div w:id="1329626698">
      <w:bodyDiv w:val="1"/>
      <w:marLeft w:val="0"/>
      <w:marRight w:val="0"/>
      <w:marTop w:val="0"/>
      <w:marBottom w:val="0"/>
      <w:divBdr>
        <w:top w:val="none" w:sz="0" w:space="0" w:color="auto"/>
        <w:left w:val="none" w:sz="0" w:space="0" w:color="auto"/>
        <w:bottom w:val="none" w:sz="0" w:space="0" w:color="auto"/>
        <w:right w:val="none" w:sz="0" w:space="0" w:color="auto"/>
      </w:divBdr>
    </w:div>
    <w:div w:id="1349914241">
      <w:bodyDiv w:val="1"/>
      <w:marLeft w:val="0"/>
      <w:marRight w:val="0"/>
      <w:marTop w:val="0"/>
      <w:marBottom w:val="0"/>
      <w:divBdr>
        <w:top w:val="none" w:sz="0" w:space="0" w:color="auto"/>
        <w:left w:val="none" w:sz="0" w:space="0" w:color="auto"/>
        <w:bottom w:val="none" w:sz="0" w:space="0" w:color="auto"/>
        <w:right w:val="none" w:sz="0" w:space="0" w:color="auto"/>
      </w:divBdr>
    </w:div>
    <w:div w:id="1360856515">
      <w:bodyDiv w:val="1"/>
      <w:marLeft w:val="0"/>
      <w:marRight w:val="0"/>
      <w:marTop w:val="0"/>
      <w:marBottom w:val="0"/>
      <w:divBdr>
        <w:top w:val="none" w:sz="0" w:space="0" w:color="auto"/>
        <w:left w:val="none" w:sz="0" w:space="0" w:color="auto"/>
        <w:bottom w:val="none" w:sz="0" w:space="0" w:color="auto"/>
        <w:right w:val="none" w:sz="0" w:space="0" w:color="auto"/>
      </w:divBdr>
    </w:div>
    <w:div w:id="1395204890">
      <w:bodyDiv w:val="1"/>
      <w:marLeft w:val="0"/>
      <w:marRight w:val="0"/>
      <w:marTop w:val="0"/>
      <w:marBottom w:val="0"/>
      <w:divBdr>
        <w:top w:val="none" w:sz="0" w:space="0" w:color="auto"/>
        <w:left w:val="none" w:sz="0" w:space="0" w:color="auto"/>
        <w:bottom w:val="none" w:sz="0" w:space="0" w:color="auto"/>
        <w:right w:val="none" w:sz="0" w:space="0" w:color="auto"/>
      </w:divBdr>
    </w:div>
    <w:div w:id="1397901543">
      <w:bodyDiv w:val="1"/>
      <w:marLeft w:val="0"/>
      <w:marRight w:val="0"/>
      <w:marTop w:val="0"/>
      <w:marBottom w:val="0"/>
      <w:divBdr>
        <w:top w:val="none" w:sz="0" w:space="0" w:color="auto"/>
        <w:left w:val="none" w:sz="0" w:space="0" w:color="auto"/>
        <w:bottom w:val="none" w:sz="0" w:space="0" w:color="auto"/>
        <w:right w:val="none" w:sz="0" w:space="0" w:color="auto"/>
      </w:divBdr>
    </w:div>
    <w:div w:id="1431242166">
      <w:bodyDiv w:val="1"/>
      <w:marLeft w:val="0"/>
      <w:marRight w:val="0"/>
      <w:marTop w:val="0"/>
      <w:marBottom w:val="0"/>
      <w:divBdr>
        <w:top w:val="none" w:sz="0" w:space="0" w:color="auto"/>
        <w:left w:val="none" w:sz="0" w:space="0" w:color="auto"/>
        <w:bottom w:val="none" w:sz="0" w:space="0" w:color="auto"/>
        <w:right w:val="none" w:sz="0" w:space="0" w:color="auto"/>
      </w:divBdr>
    </w:div>
    <w:div w:id="1461344862">
      <w:bodyDiv w:val="1"/>
      <w:marLeft w:val="0"/>
      <w:marRight w:val="0"/>
      <w:marTop w:val="0"/>
      <w:marBottom w:val="0"/>
      <w:divBdr>
        <w:top w:val="none" w:sz="0" w:space="0" w:color="auto"/>
        <w:left w:val="none" w:sz="0" w:space="0" w:color="auto"/>
        <w:bottom w:val="none" w:sz="0" w:space="0" w:color="auto"/>
        <w:right w:val="none" w:sz="0" w:space="0" w:color="auto"/>
      </w:divBdr>
    </w:div>
    <w:div w:id="1482455119">
      <w:bodyDiv w:val="1"/>
      <w:marLeft w:val="0"/>
      <w:marRight w:val="0"/>
      <w:marTop w:val="0"/>
      <w:marBottom w:val="0"/>
      <w:divBdr>
        <w:top w:val="none" w:sz="0" w:space="0" w:color="auto"/>
        <w:left w:val="none" w:sz="0" w:space="0" w:color="auto"/>
        <w:bottom w:val="none" w:sz="0" w:space="0" w:color="auto"/>
        <w:right w:val="none" w:sz="0" w:space="0" w:color="auto"/>
      </w:divBdr>
    </w:div>
    <w:div w:id="1506751744">
      <w:bodyDiv w:val="1"/>
      <w:marLeft w:val="0"/>
      <w:marRight w:val="0"/>
      <w:marTop w:val="0"/>
      <w:marBottom w:val="0"/>
      <w:divBdr>
        <w:top w:val="none" w:sz="0" w:space="0" w:color="auto"/>
        <w:left w:val="none" w:sz="0" w:space="0" w:color="auto"/>
        <w:bottom w:val="none" w:sz="0" w:space="0" w:color="auto"/>
        <w:right w:val="none" w:sz="0" w:space="0" w:color="auto"/>
      </w:divBdr>
    </w:div>
    <w:div w:id="1548490701">
      <w:bodyDiv w:val="1"/>
      <w:marLeft w:val="0"/>
      <w:marRight w:val="0"/>
      <w:marTop w:val="0"/>
      <w:marBottom w:val="0"/>
      <w:divBdr>
        <w:top w:val="none" w:sz="0" w:space="0" w:color="auto"/>
        <w:left w:val="none" w:sz="0" w:space="0" w:color="auto"/>
        <w:bottom w:val="none" w:sz="0" w:space="0" w:color="auto"/>
        <w:right w:val="none" w:sz="0" w:space="0" w:color="auto"/>
      </w:divBdr>
    </w:div>
    <w:div w:id="1572883069">
      <w:bodyDiv w:val="1"/>
      <w:marLeft w:val="0"/>
      <w:marRight w:val="0"/>
      <w:marTop w:val="0"/>
      <w:marBottom w:val="0"/>
      <w:divBdr>
        <w:top w:val="none" w:sz="0" w:space="0" w:color="auto"/>
        <w:left w:val="none" w:sz="0" w:space="0" w:color="auto"/>
        <w:bottom w:val="none" w:sz="0" w:space="0" w:color="auto"/>
        <w:right w:val="none" w:sz="0" w:space="0" w:color="auto"/>
      </w:divBdr>
    </w:div>
    <w:div w:id="1578395993">
      <w:bodyDiv w:val="1"/>
      <w:marLeft w:val="0"/>
      <w:marRight w:val="0"/>
      <w:marTop w:val="0"/>
      <w:marBottom w:val="0"/>
      <w:divBdr>
        <w:top w:val="none" w:sz="0" w:space="0" w:color="auto"/>
        <w:left w:val="none" w:sz="0" w:space="0" w:color="auto"/>
        <w:bottom w:val="none" w:sz="0" w:space="0" w:color="auto"/>
        <w:right w:val="none" w:sz="0" w:space="0" w:color="auto"/>
      </w:divBdr>
    </w:div>
    <w:div w:id="1594126180">
      <w:bodyDiv w:val="1"/>
      <w:marLeft w:val="0"/>
      <w:marRight w:val="0"/>
      <w:marTop w:val="0"/>
      <w:marBottom w:val="0"/>
      <w:divBdr>
        <w:top w:val="none" w:sz="0" w:space="0" w:color="auto"/>
        <w:left w:val="none" w:sz="0" w:space="0" w:color="auto"/>
        <w:bottom w:val="none" w:sz="0" w:space="0" w:color="auto"/>
        <w:right w:val="none" w:sz="0" w:space="0" w:color="auto"/>
      </w:divBdr>
    </w:div>
    <w:div w:id="1608390824">
      <w:bodyDiv w:val="1"/>
      <w:marLeft w:val="0"/>
      <w:marRight w:val="0"/>
      <w:marTop w:val="0"/>
      <w:marBottom w:val="0"/>
      <w:divBdr>
        <w:top w:val="none" w:sz="0" w:space="0" w:color="auto"/>
        <w:left w:val="none" w:sz="0" w:space="0" w:color="auto"/>
        <w:bottom w:val="none" w:sz="0" w:space="0" w:color="auto"/>
        <w:right w:val="none" w:sz="0" w:space="0" w:color="auto"/>
      </w:divBdr>
    </w:div>
    <w:div w:id="1615089823">
      <w:bodyDiv w:val="1"/>
      <w:marLeft w:val="0"/>
      <w:marRight w:val="0"/>
      <w:marTop w:val="0"/>
      <w:marBottom w:val="0"/>
      <w:divBdr>
        <w:top w:val="none" w:sz="0" w:space="0" w:color="auto"/>
        <w:left w:val="none" w:sz="0" w:space="0" w:color="auto"/>
        <w:bottom w:val="none" w:sz="0" w:space="0" w:color="auto"/>
        <w:right w:val="none" w:sz="0" w:space="0" w:color="auto"/>
      </w:divBdr>
    </w:div>
    <w:div w:id="1617173220">
      <w:bodyDiv w:val="1"/>
      <w:marLeft w:val="0"/>
      <w:marRight w:val="0"/>
      <w:marTop w:val="0"/>
      <w:marBottom w:val="0"/>
      <w:divBdr>
        <w:top w:val="none" w:sz="0" w:space="0" w:color="auto"/>
        <w:left w:val="none" w:sz="0" w:space="0" w:color="auto"/>
        <w:bottom w:val="none" w:sz="0" w:space="0" w:color="auto"/>
        <w:right w:val="none" w:sz="0" w:space="0" w:color="auto"/>
      </w:divBdr>
    </w:div>
    <w:div w:id="1631323242">
      <w:bodyDiv w:val="1"/>
      <w:marLeft w:val="0"/>
      <w:marRight w:val="0"/>
      <w:marTop w:val="0"/>
      <w:marBottom w:val="0"/>
      <w:divBdr>
        <w:top w:val="none" w:sz="0" w:space="0" w:color="auto"/>
        <w:left w:val="none" w:sz="0" w:space="0" w:color="auto"/>
        <w:bottom w:val="none" w:sz="0" w:space="0" w:color="auto"/>
        <w:right w:val="none" w:sz="0" w:space="0" w:color="auto"/>
      </w:divBdr>
    </w:div>
    <w:div w:id="1634017719">
      <w:bodyDiv w:val="1"/>
      <w:marLeft w:val="0"/>
      <w:marRight w:val="0"/>
      <w:marTop w:val="0"/>
      <w:marBottom w:val="0"/>
      <w:divBdr>
        <w:top w:val="none" w:sz="0" w:space="0" w:color="auto"/>
        <w:left w:val="none" w:sz="0" w:space="0" w:color="auto"/>
        <w:bottom w:val="none" w:sz="0" w:space="0" w:color="auto"/>
        <w:right w:val="none" w:sz="0" w:space="0" w:color="auto"/>
      </w:divBdr>
    </w:div>
    <w:div w:id="1640648738">
      <w:bodyDiv w:val="1"/>
      <w:marLeft w:val="0"/>
      <w:marRight w:val="0"/>
      <w:marTop w:val="0"/>
      <w:marBottom w:val="0"/>
      <w:divBdr>
        <w:top w:val="none" w:sz="0" w:space="0" w:color="auto"/>
        <w:left w:val="none" w:sz="0" w:space="0" w:color="auto"/>
        <w:bottom w:val="none" w:sz="0" w:space="0" w:color="auto"/>
        <w:right w:val="none" w:sz="0" w:space="0" w:color="auto"/>
      </w:divBdr>
    </w:div>
    <w:div w:id="1643272121">
      <w:bodyDiv w:val="1"/>
      <w:marLeft w:val="0"/>
      <w:marRight w:val="0"/>
      <w:marTop w:val="0"/>
      <w:marBottom w:val="0"/>
      <w:divBdr>
        <w:top w:val="none" w:sz="0" w:space="0" w:color="auto"/>
        <w:left w:val="none" w:sz="0" w:space="0" w:color="auto"/>
        <w:bottom w:val="none" w:sz="0" w:space="0" w:color="auto"/>
        <w:right w:val="none" w:sz="0" w:space="0" w:color="auto"/>
      </w:divBdr>
    </w:div>
    <w:div w:id="1662781379">
      <w:bodyDiv w:val="1"/>
      <w:marLeft w:val="0"/>
      <w:marRight w:val="0"/>
      <w:marTop w:val="0"/>
      <w:marBottom w:val="0"/>
      <w:divBdr>
        <w:top w:val="none" w:sz="0" w:space="0" w:color="auto"/>
        <w:left w:val="none" w:sz="0" w:space="0" w:color="auto"/>
        <w:bottom w:val="none" w:sz="0" w:space="0" w:color="auto"/>
        <w:right w:val="none" w:sz="0" w:space="0" w:color="auto"/>
      </w:divBdr>
    </w:div>
    <w:div w:id="1666282949">
      <w:bodyDiv w:val="1"/>
      <w:marLeft w:val="0"/>
      <w:marRight w:val="0"/>
      <w:marTop w:val="0"/>
      <w:marBottom w:val="0"/>
      <w:divBdr>
        <w:top w:val="none" w:sz="0" w:space="0" w:color="auto"/>
        <w:left w:val="none" w:sz="0" w:space="0" w:color="auto"/>
        <w:bottom w:val="none" w:sz="0" w:space="0" w:color="auto"/>
        <w:right w:val="none" w:sz="0" w:space="0" w:color="auto"/>
      </w:divBdr>
    </w:div>
    <w:div w:id="1740134683">
      <w:bodyDiv w:val="1"/>
      <w:marLeft w:val="0"/>
      <w:marRight w:val="0"/>
      <w:marTop w:val="0"/>
      <w:marBottom w:val="0"/>
      <w:divBdr>
        <w:top w:val="none" w:sz="0" w:space="0" w:color="auto"/>
        <w:left w:val="none" w:sz="0" w:space="0" w:color="auto"/>
        <w:bottom w:val="none" w:sz="0" w:space="0" w:color="auto"/>
        <w:right w:val="none" w:sz="0" w:space="0" w:color="auto"/>
      </w:divBdr>
    </w:div>
    <w:div w:id="1760060819">
      <w:bodyDiv w:val="1"/>
      <w:marLeft w:val="0"/>
      <w:marRight w:val="0"/>
      <w:marTop w:val="0"/>
      <w:marBottom w:val="0"/>
      <w:divBdr>
        <w:top w:val="none" w:sz="0" w:space="0" w:color="auto"/>
        <w:left w:val="none" w:sz="0" w:space="0" w:color="auto"/>
        <w:bottom w:val="none" w:sz="0" w:space="0" w:color="auto"/>
        <w:right w:val="none" w:sz="0" w:space="0" w:color="auto"/>
      </w:divBdr>
    </w:div>
    <w:div w:id="1776173898">
      <w:bodyDiv w:val="1"/>
      <w:marLeft w:val="0"/>
      <w:marRight w:val="0"/>
      <w:marTop w:val="0"/>
      <w:marBottom w:val="0"/>
      <w:divBdr>
        <w:top w:val="none" w:sz="0" w:space="0" w:color="auto"/>
        <w:left w:val="none" w:sz="0" w:space="0" w:color="auto"/>
        <w:bottom w:val="none" w:sz="0" w:space="0" w:color="auto"/>
        <w:right w:val="none" w:sz="0" w:space="0" w:color="auto"/>
      </w:divBdr>
    </w:div>
    <w:div w:id="1785685070">
      <w:bodyDiv w:val="1"/>
      <w:marLeft w:val="0"/>
      <w:marRight w:val="0"/>
      <w:marTop w:val="0"/>
      <w:marBottom w:val="0"/>
      <w:divBdr>
        <w:top w:val="none" w:sz="0" w:space="0" w:color="auto"/>
        <w:left w:val="none" w:sz="0" w:space="0" w:color="auto"/>
        <w:bottom w:val="none" w:sz="0" w:space="0" w:color="auto"/>
        <w:right w:val="none" w:sz="0" w:space="0" w:color="auto"/>
      </w:divBdr>
    </w:div>
    <w:div w:id="1787306877">
      <w:bodyDiv w:val="1"/>
      <w:marLeft w:val="0"/>
      <w:marRight w:val="0"/>
      <w:marTop w:val="0"/>
      <w:marBottom w:val="0"/>
      <w:divBdr>
        <w:top w:val="none" w:sz="0" w:space="0" w:color="auto"/>
        <w:left w:val="none" w:sz="0" w:space="0" w:color="auto"/>
        <w:bottom w:val="none" w:sz="0" w:space="0" w:color="auto"/>
        <w:right w:val="none" w:sz="0" w:space="0" w:color="auto"/>
      </w:divBdr>
    </w:div>
    <w:div w:id="1798135902">
      <w:bodyDiv w:val="1"/>
      <w:marLeft w:val="0"/>
      <w:marRight w:val="0"/>
      <w:marTop w:val="0"/>
      <w:marBottom w:val="0"/>
      <w:divBdr>
        <w:top w:val="none" w:sz="0" w:space="0" w:color="auto"/>
        <w:left w:val="none" w:sz="0" w:space="0" w:color="auto"/>
        <w:bottom w:val="none" w:sz="0" w:space="0" w:color="auto"/>
        <w:right w:val="none" w:sz="0" w:space="0" w:color="auto"/>
      </w:divBdr>
    </w:div>
    <w:div w:id="1825311941">
      <w:bodyDiv w:val="1"/>
      <w:marLeft w:val="0"/>
      <w:marRight w:val="0"/>
      <w:marTop w:val="0"/>
      <w:marBottom w:val="0"/>
      <w:divBdr>
        <w:top w:val="none" w:sz="0" w:space="0" w:color="auto"/>
        <w:left w:val="none" w:sz="0" w:space="0" w:color="auto"/>
        <w:bottom w:val="none" w:sz="0" w:space="0" w:color="auto"/>
        <w:right w:val="none" w:sz="0" w:space="0" w:color="auto"/>
      </w:divBdr>
    </w:div>
    <w:div w:id="1834101093">
      <w:bodyDiv w:val="1"/>
      <w:marLeft w:val="0"/>
      <w:marRight w:val="0"/>
      <w:marTop w:val="0"/>
      <w:marBottom w:val="0"/>
      <w:divBdr>
        <w:top w:val="none" w:sz="0" w:space="0" w:color="auto"/>
        <w:left w:val="none" w:sz="0" w:space="0" w:color="auto"/>
        <w:bottom w:val="none" w:sz="0" w:space="0" w:color="auto"/>
        <w:right w:val="none" w:sz="0" w:space="0" w:color="auto"/>
      </w:divBdr>
    </w:div>
    <w:div w:id="1852259182">
      <w:bodyDiv w:val="1"/>
      <w:marLeft w:val="0"/>
      <w:marRight w:val="0"/>
      <w:marTop w:val="0"/>
      <w:marBottom w:val="0"/>
      <w:divBdr>
        <w:top w:val="none" w:sz="0" w:space="0" w:color="auto"/>
        <w:left w:val="none" w:sz="0" w:space="0" w:color="auto"/>
        <w:bottom w:val="none" w:sz="0" w:space="0" w:color="auto"/>
        <w:right w:val="none" w:sz="0" w:space="0" w:color="auto"/>
      </w:divBdr>
    </w:div>
    <w:div w:id="1879779440">
      <w:bodyDiv w:val="1"/>
      <w:marLeft w:val="0"/>
      <w:marRight w:val="0"/>
      <w:marTop w:val="0"/>
      <w:marBottom w:val="0"/>
      <w:divBdr>
        <w:top w:val="none" w:sz="0" w:space="0" w:color="auto"/>
        <w:left w:val="none" w:sz="0" w:space="0" w:color="auto"/>
        <w:bottom w:val="none" w:sz="0" w:space="0" w:color="auto"/>
        <w:right w:val="none" w:sz="0" w:space="0" w:color="auto"/>
      </w:divBdr>
    </w:div>
    <w:div w:id="1907302294">
      <w:bodyDiv w:val="1"/>
      <w:marLeft w:val="0"/>
      <w:marRight w:val="0"/>
      <w:marTop w:val="0"/>
      <w:marBottom w:val="0"/>
      <w:divBdr>
        <w:top w:val="none" w:sz="0" w:space="0" w:color="auto"/>
        <w:left w:val="none" w:sz="0" w:space="0" w:color="auto"/>
        <w:bottom w:val="none" w:sz="0" w:space="0" w:color="auto"/>
        <w:right w:val="none" w:sz="0" w:space="0" w:color="auto"/>
      </w:divBdr>
    </w:div>
    <w:div w:id="1927224708">
      <w:bodyDiv w:val="1"/>
      <w:marLeft w:val="0"/>
      <w:marRight w:val="0"/>
      <w:marTop w:val="0"/>
      <w:marBottom w:val="0"/>
      <w:divBdr>
        <w:top w:val="none" w:sz="0" w:space="0" w:color="auto"/>
        <w:left w:val="none" w:sz="0" w:space="0" w:color="auto"/>
        <w:bottom w:val="none" w:sz="0" w:space="0" w:color="auto"/>
        <w:right w:val="none" w:sz="0" w:space="0" w:color="auto"/>
      </w:divBdr>
    </w:div>
    <w:div w:id="1943105709">
      <w:bodyDiv w:val="1"/>
      <w:marLeft w:val="0"/>
      <w:marRight w:val="0"/>
      <w:marTop w:val="0"/>
      <w:marBottom w:val="0"/>
      <w:divBdr>
        <w:top w:val="none" w:sz="0" w:space="0" w:color="auto"/>
        <w:left w:val="none" w:sz="0" w:space="0" w:color="auto"/>
        <w:bottom w:val="none" w:sz="0" w:space="0" w:color="auto"/>
        <w:right w:val="none" w:sz="0" w:space="0" w:color="auto"/>
      </w:divBdr>
    </w:div>
    <w:div w:id="1945264462">
      <w:bodyDiv w:val="1"/>
      <w:marLeft w:val="0"/>
      <w:marRight w:val="0"/>
      <w:marTop w:val="0"/>
      <w:marBottom w:val="0"/>
      <w:divBdr>
        <w:top w:val="none" w:sz="0" w:space="0" w:color="auto"/>
        <w:left w:val="none" w:sz="0" w:space="0" w:color="auto"/>
        <w:bottom w:val="none" w:sz="0" w:space="0" w:color="auto"/>
        <w:right w:val="none" w:sz="0" w:space="0" w:color="auto"/>
      </w:divBdr>
      <w:divsChild>
        <w:div w:id="2092310106">
          <w:marLeft w:val="0"/>
          <w:marRight w:val="0"/>
          <w:marTop w:val="0"/>
          <w:marBottom w:val="0"/>
          <w:divBdr>
            <w:top w:val="none" w:sz="0" w:space="0" w:color="auto"/>
            <w:left w:val="none" w:sz="0" w:space="0" w:color="auto"/>
            <w:bottom w:val="none" w:sz="0" w:space="0" w:color="auto"/>
            <w:right w:val="none" w:sz="0" w:space="0" w:color="auto"/>
          </w:divBdr>
        </w:div>
      </w:divsChild>
    </w:div>
    <w:div w:id="1948654984">
      <w:bodyDiv w:val="1"/>
      <w:marLeft w:val="0"/>
      <w:marRight w:val="0"/>
      <w:marTop w:val="0"/>
      <w:marBottom w:val="0"/>
      <w:divBdr>
        <w:top w:val="none" w:sz="0" w:space="0" w:color="auto"/>
        <w:left w:val="none" w:sz="0" w:space="0" w:color="auto"/>
        <w:bottom w:val="none" w:sz="0" w:space="0" w:color="auto"/>
        <w:right w:val="none" w:sz="0" w:space="0" w:color="auto"/>
      </w:divBdr>
    </w:div>
    <w:div w:id="1966349781">
      <w:bodyDiv w:val="1"/>
      <w:marLeft w:val="0"/>
      <w:marRight w:val="0"/>
      <w:marTop w:val="0"/>
      <w:marBottom w:val="0"/>
      <w:divBdr>
        <w:top w:val="none" w:sz="0" w:space="0" w:color="auto"/>
        <w:left w:val="none" w:sz="0" w:space="0" w:color="auto"/>
        <w:bottom w:val="none" w:sz="0" w:space="0" w:color="auto"/>
        <w:right w:val="none" w:sz="0" w:space="0" w:color="auto"/>
      </w:divBdr>
    </w:div>
    <w:div w:id="1968465457">
      <w:bodyDiv w:val="1"/>
      <w:marLeft w:val="0"/>
      <w:marRight w:val="0"/>
      <w:marTop w:val="0"/>
      <w:marBottom w:val="0"/>
      <w:divBdr>
        <w:top w:val="none" w:sz="0" w:space="0" w:color="auto"/>
        <w:left w:val="none" w:sz="0" w:space="0" w:color="auto"/>
        <w:bottom w:val="none" w:sz="0" w:space="0" w:color="auto"/>
        <w:right w:val="none" w:sz="0" w:space="0" w:color="auto"/>
      </w:divBdr>
    </w:div>
    <w:div w:id="1975669343">
      <w:bodyDiv w:val="1"/>
      <w:marLeft w:val="0"/>
      <w:marRight w:val="0"/>
      <w:marTop w:val="0"/>
      <w:marBottom w:val="0"/>
      <w:divBdr>
        <w:top w:val="none" w:sz="0" w:space="0" w:color="auto"/>
        <w:left w:val="none" w:sz="0" w:space="0" w:color="auto"/>
        <w:bottom w:val="none" w:sz="0" w:space="0" w:color="auto"/>
        <w:right w:val="none" w:sz="0" w:space="0" w:color="auto"/>
      </w:divBdr>
    </w:div>
    <w:div w:id="1991714029">
      <w:bodyDiv w:val="1"/>
      <w:marLeft w:val="0"/>
      <w:marRight w:val="0"/>
      <w:marTop w:val="0"/>
      <w:marBottom w:val="0"/>
      <w:divBdr>
        <w:top w:val="none" w:sz="0" w:space="0" w:color="auto"/>
        <w:left w:val="none" w:sz="0" w:space="0" w:color="auto"/>
        <w:bottom w:val="none" w:sz="0" w:space="0" w:color="auto"/>
        <w:right w:val="none" w:sz="0" w:space="0" w:color="auto"/>
      </w:divBdr>
    </w:div>
    <w:div w:id="2004775678">
      <w:bodyDiv w:val="1"/>
      <w:marLeft w:val="0"/>
      <w:marRight w:val="0"/>
      <w:marTop w:val="0"/>
      <w:marBottom w:val="0"/>
      <w:divBdr>
        <w:top w:val="none" w:sz="0" w:space="0" w:color="auto"/>
        <w:left w:val="none" w:sz="0" w:space="0" w:color="auto"/>
        <w:bottom w:val="none" w:sz="0" w:space="0" w:color="auto"/>
        <w:right w:val="none" w:sz="0" w:space="0" w:color="auto"/>
      </w:divBdr>
    </w:div>
    <w:div w:id="2008706170">
      <w:bodyDiv w:val="1"/>
      <w:marLeft w:val="0"/>
      <w:marRight w:val="0"/>
      <w:marTop w:val="0"/>
      <w:marBottom w:val="0"/>
      <w:divBdr>
        <w:top w:val="none" w:sz="0" w:space="0" w:color="auto"/>
        <w:left w:val="none" w:sz="0" w:space="0" w:color="auto"/>
        <w:bottom w:val="none" w:sz="0" w:space="0" w:color="auto"/>
        <w:right w:val="none" w:sz="0" w:space="0" w:color="auto"/>
      </w:divBdr>
    </w:div>
    <w:div w:id="2009670583">
      <w:bodyDiv w:val="1"/>
      <w:marLeft w:val="0"/>
      <w:marRight w:val="0"/>
      <w:marTop w:val="0"/>
      <w:marBottom w:val="0"/>
      <w:divBdr>
        <w:top w:val="none" w:sz="0" w:space="0" w:color="auto"/>
        <w:left w:val="none" w:sz="0" w:space="0" w:color="auto"/>
        <w:bottom w:val="none" w:sz="0" w:space="0" w:color="auto"/>
        <w:right w:val="none" w:sz="0" w:space="0" w:color="auto"/>
      </w:divBdr>
    </w:div>
    <w:div w:id="2011322404">
      <w:bodyDiv w:val="1"/>
      <w:marLeft w:val="0"/>
      <w:marRight w:val="0"/>
      <w:marTop w:val="0"/>
      <w:marBottom w:val="0"/>
      <w:divBdr>
        <w:top w:val="none" w:sz="0" w:space="0" w:color="auto"/>
        <w:left w:val="none" w:sz="0" w:space="0" w:color="auto"/>
        <w:bottom w:val="none" w:sz="0" w:space="0" w:color="auto"/>
        <w:right w:val="none" w:sz="0" w:space="0" w:color="auto"/>
      </w:divBdr>
    </w:div>
    <w:div w:id="2014799698">
      <w:bodyDiv w:val="1"/>
      <w:marLeft w:val="0"/>
      <w:marRight w:val="0"/>
      <w:marTop w:val="0"/>
      <w:marBottom w:val="0"/>
      <w:divBdr>
        <w:top w:val="none" w:sz="0" w:space="0" w:color="auto"/>
        <w:left w:val="none" w:sz="0" w:space="0" w:color="auto"/>
        <w:bottom w:val="none" w:sz="0" w:space="0" w:color="auto"/>
        <w:right w:val="none" w:sz="0" w:space="0" w:color="auto"/>
      </w:divBdr>
    </w:div>
    <w:div w:id="2046129443">
      <w:bodyDiv w:val="1"/>
      <w:marLeft w:val="0"/>
      <w:marRight w:val="0"/>
      <w:marTop w:val="0"/>
      <w:marBottom w:val="0"/>
      <w:divBdr>
        <w:top w:val="none" w:sz="0" w:space="0" w:color="auto"/>
        <w:left w:val="none" w:sz="0" w:space="0" w:color="auto"/>
        <w:bottom w:val="none" w:sz="0" w:space="0" w:color="auto"/>
        <w:right w:val="none" w:sz="0" w:space="0" w:color="auto"/>
      </w:divBdr>
    </w:div>
    <w:div w:id="2049867039">
      <w:bodyDiv w:val="1"/>
      <w:marLeft w:val="0"/>
      <w:marRight w:val="0"/>
      <w:marTop w:val="0"/>
      <w:marBottom w:val="0"/>
      <w:divBdr>
        <w:top w:val="none" w:sz="0" w:space="0" w:color="auto"/>
        <w:left w:val="none" w:sz="0" w:space="0" w:color="auto"/>
        <w:bottom w:val="none" w:sz="0" w:space="0" w:color="auto"/>
        <w:right w:val="none" w:sz="0" w:space="0" w:color="auto"/>
      </w:divBdr>
    </w:div>
    <w:div w:id="2061635880">
      <w:bodyDiv w:val="1"/>
      <w:marLeft w:val="0"/>
      <w:marRight w:val="0"/>
      <w:marTop w:val="0"/>
      <w:marBottom w:val="0"/>
      <w:divBdr>
        <w:top w:val="none" w:sz="0" w:space="0" w:color="auto"/>
        <w:left w:val="none" w:sz="0" w:space="0" w:color="auto"/>
        <w:bottom w:val="none" w:sz="0" w:space="0" w:color="auto"/>
        <w:right w:val="none" w:sz="0" w:space="0" w:color="auto"/>
      </w:divBdr>
    </w:div>
    <w:div w:id="2072844530">
      <w:bodyDiv w:val="1"/>
      <w:marLeft w:val="0"/>
      <w:marRight w:val="0"/>
      <w:marTop w:val="0"/>
      <w:marBottom w:val="0"/>
      <w:divBdr>
        <w:top w:val="none" w:sz="0" w:space="0" w:color="auto"/>
        <w:left w:val="none" w:sz="0" w:space="0" w:color="auto"/>
        <w:bottom w:val="none" w:sz="0" w:space="0" w:color="auto"/>
        <w:right w:val="none" w:sz="0" w:space="0" w:color="auto"/>
      </w:divBdr>
    </w:div>
    <w:div w:id="2079862215">
      <w:bodyDiv w:val="1"/>
      <w:marLeft w:val="0"/>
      <w:marRight w:val="0"/>
      <w:marTop w:val="0"/>
      <w:marBottom w:val="0"/>
      <w:divBdr>
        <w:top w:val="none" w:sz="0" w:space="0" w:color="auto"/>
        <w:left w:val="none" w:sz="0" w:space="0" w:color="auto"/>
        <w:bottom w:val="none" w:sz="0" w:space="0" w:color="auto"/>
        <w:right w:val="none" w:sz="0" w:space="0" w:color="auto"/>
      </w:divBdr>
    </w:div>
    <w:div w:id="2102337383">
      <w:bodyDiv w:val="1"/>
      <w:marLeft w:val="0"/>
      <w:marRight w:val="0"/>
      <w:marTop w:val="0"/>
      <w:marBottom w:val="0"/>
      <w:divBdr>
        <w:top w:val="none" w:sz="0" w:space="0" w:color="auto"/>
        <w:left w:val="none" w:sz="0" w:space="0" w:color="auto"/>
        <w:bottom w:val="none" w:sz="0" w:space="0" w:color="auto"/>
        <w:right w:val="none" w:sz="0" w:space="0" w:color="auto"/>
      </w:divBdr>
    </w:div>
    <w:div w:id="2106682334">
      <w:bodyDiv w:val="1"/>
      <w:marLeft w:val="0"/>
      <w:marRight w:val="0"/>
      <w:marTop w:val="0"/>
      <w:marBottom w:val="0"/>
      <w:divBdr>
        <w:top w:val="none" w:sz="0" w:space="0" w:color="auto"/>
        <w:left w:val="none" w:sz="0" w:space="0" w:color="auto"/>
        <w:bottom w:val="none" w:sz="0" w:space="0" w:color="auto"/>
        <w:right w:val="none" w:sz="0" w:space="0" w:color="auto"/>
      </w:divBdr>
    </w:div>
    <w:div w:id="2127263921">
      <w:bodyDiv w:val="1"/>
      <w:marLeft w:val="0"/>
      <w:marRight w:val="0"/>
      <w:marTop w:val="0"/>
      <w:marBottom w:val="0"/>
      <w:divBdr>
        <w:top w:val="none" w:sz="0" w:space="0" w:color="auto"/>
        <w:left w:val="none" w:sz="0" w:space="0" w:color="auto"/>
        <w:bottom w:val="none" w:sz="0" w:space="0" w:color="auto"/>
        <w:right w:val="none" w:sz="0" w:space="0" w:color="auto"/>
      </w:divBdr>
    </w:div>
    <w:div w:id="2128814738">
      <w:bodyDiv w:val="1"/>
      <w:marLeft w:val="0"/>
      <w:marRight w:val="0"/>
      <w:marTop w:val="0"/>
      <w:marBottom w:val="0"/>
      <w:divBdr>
        <w:top w:val="none" w:sz="0" w:space="0" w:color="auto"/>
        <w:left w:val="none" w:sz="0" w:space="0" w:color="auto"/>
        <w:bottom w:val="none" w:sz="0" w:space="0" w:color="auto"/>
        <w:right w:val="none" w:sz="0" w:space="0" w:color="auto"/>
      </w:divBdr>
    </w:div>
    <w:div w:id="2138134767">
      <w:bodyDiv w:val="1"/>
      <w:marLeft w:val="0"/>
      <w:marRight w:val="0"/>
      <w:marTop w:val="0"/>
      <w:marBottom w:val="0"/>
      <w:divBdr>
        <w:top w:val="none" w:sz="0" w:space="0" w:color="auto"/>
        <w:left w:val="none" w:sz="0" w:space="0" w:color="auto"/>
        <w:bottom w:val="none" w:sz="0" w:space="0" w:color="auto"/>
        <w:right w:val="none" w:sz="0" w:space="0" w:color="auto"/>
      </w:divBdr>
    </w:div>
    <w:div w:id="2141728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6.e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4.e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image" Target="media/image7.emf"/></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609FC-3AE3-4125-8C40-A06D4CA05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2476</Words>
  <Characters>14610</Characters>
  <Application>Microsoft Office Word</Application>
  <DocSecurity>0</DocSecurity>
  <Lines>121</Lines>
  <Paragraphs>34</Paragraphs>
  <ScaleCrop>false</ScaleCrop>
  <HeadingPairs>
    <vt:vector size="2" baseType="variant">
      <vt:variant>
        <vt:lpstr>Název</vt:lpstr>
      </vt:variant>
      <vt:variant>
        <vt:i4>1</vt:i4>
      </vt:variant>
    </vt:vector>
  </HeadingPairs>
  <TitlesOfParts>
    <vt:vector size="1" baseType="lpstr">
      <vt:lpstr>ING</vt:lpstr>
    </vt:vector>
  </TitlesOfParts>
  <Company>o</Company>
  <LinksUpToDate>false</LinksUpToDate>
  <CharactersWithSpaces>17052</CharactersWithSpaces>
  <SharedDoc>false</SharedDoc>
  <HLinks>
    <vt:vector size="54" baseType="variant">
      <vt:variant>
        <vt:i4>1048627</vt:i4>
      </vt:variant>
      <vt:variant>
        <vt:i4>50</vt:i4>
      </vt:variant>
      <vt:variant>
        <vt:i4>0</vt:i4>
      </vt:variant>
      <vt:variant>
        <vt:i4>5</vt:i4>
      </vt:variant>
      <vt:variant>
        <vt:lpwstr/>
      </vt:variant>
      <vt:variant>
        <vt:lpwstr>_Toc159420965</vt:lpwstr>
      </vt:variant>
      <vt:variant>
        <vt:i4>1048627</vt:i4>
      </vt:variant>
      <vt:variant>
        <vt:i4>44</vt:i4>
      </vt:variant>
      <vt:variant>
        <vt:i4>0</vt:i4>
      </vt:variant>
      <vt:variant>
        <vt:i4>5</vt:i4>
      </vt:variant>
      <vt:variant>
        <vt:lpwstr/>
      </vt:variant>
      <vt:variant>
        <vt:lpwstr>_Toc159420964</vt:lpwstr>
      </vt:variant>
      <vt:variant>
        <vt:i4>1048627</vt:i4>
      </vt:variant>
      <vt:variant>
        <vt:i4>38</vt:i4>
      </vt:variant>
      <vt:variant>
        <vt:i4>0</vt:i4>
      </vt:variant>
      <vt:variant>
        <vt:i4>5</vt:i4>
      </vt:variant>
      <vt:variant>
        <vt:lpwstr/>
      </vt:variant>
      <vt:variant>
        <vt:lpwstr>_Toc159420963</vt:lpwstr>
      </vt:variant>
      <vt:variant>
        <vt:i4>1048627</vt:i4>
      </vt:variant>
      <vt:variant>
        <vt:i4>32</vt:i4>
      </vt:variant>
      <vt:variant>
        <vt:i4>0</vt:i4>
      </vt:variant>
      <vt:variant>
        <vt:i4>5</vt:i4>
      </vt:variant>
      <vt:variant>
        <vt:lpwstr/>
      </vt:variant>
      <vt:variant>
        <vt:lpwstr>_Toc159420962</vt:lpwstr>
      </vt:variant>
      <vt:variant>
        <vt:i4>1048627</vt:i4>
      </vt:variant>
      <vt:variant>
        <vt:i4>26</vt:i4>
      </vt:variant>
      <vt:variant>
        <vt:i4>0</vt:i4>
      </vt:variant>
      <vt:variant>
        <vt:i4>5</vt:i4>
      </vt:variant>
      <vt:variant>
        <vt:lpwstr/>
      </vt:variant>
      <vt:variant>
        <vt:lpwstr>_Toc159420961</vt:lpwstr>
      </vt:variant>
      <vt:variant>
        <vt:i4>1048627</vt:i4>
      </vt:variant>
      <vt:variant>
        <vt:i4>20</vt:i4>
      </vt:variant>
      <vt:variant>
        <vt:i4>0</vt:i4>
      </vt:variant>
      <vt:variant>
        <vt:i4>5</vt:i4>
      </vt:variant>
      <vt:variant>
        <vt:lpwstr/>
      </vt:variant>
      <vt:variant>
        <vt:lpwstr>_Toc159420960</vt:lpwstr>
      </vt:variant>
      <vt:variant>
        <vt:i4>1245235</vt:i4>
      </vt:variant>
      <vt:variant>
        <vt:i4>14</vt:i4>
      </vt:variant>
      <vt:variant>
        <vt:i4>0</vt:i4>
      </vt:variant>
      <vt:variant>
        <vt:i4>5</vt:i4>
      </vt:variant>
      <vt:variant>
        <vt:lpwstr/>
      </vt:variant>
      <vt:variant>
        <vt:lpwstr>_Toc159420959</vt:lpwstr>
      </vt:variant>
      <vt:variant>
        <vt:i4>1245235</vt:i4>
      </vt:variant>
      <vt:variant>
        <vt:i4>8</vt:i4>
      </vt:variant>
      <vt:variant>
        <vt:i4>0</vt:i4>
      </vt:variant>
      <vt:variant>
        <vt:i4>5</vt:i4>
      </vt:variant>
      <vt:variant>
        <vt:lpwstr/>
      </vt:variant>
      <vt:variant>
        <vt:lpwstr>_Toc159420958</vt:lpwstr>
      </vt:variant>
      <vt:variant>
        <vt:i4>1245235</vt:i4>
      </vt:variant>
      <vt:variant>
        <vt:i4>2</vt:i4>
      </vt:variant>
      <vt:variant>
        <vt:i4>0</vt:i4>
      </vt:variant>
      <vt:variant>
        <vt:i4>5</vt:i4>
      </vt:variant>
      <vt:variant>
        <vt:lpwstr/>
      </vt:variant>
      <vt:variant>
        <vt:lpwstr>_Toc159420957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ING</dc:title>
  <dc:subject/>
  <dc:creator>Euka</dc:creator>
  <cp:keywords/>
  <cp:lastModifiedBy>Petr Halouzka</cp:lastModifiedBy>
  <cp:revision>3</cp:revision>
  <cp:lastPrinted>2025-05-29T10:58:00Z</cp:lastPrinted>
  <dcterms:created xsi:type="dcterms:W3CDTF">2024-04-18T08:15:00Z</dcterms:created>
  <dcterms:modified xsi:type="dcterms:W3CDTF">2025-05-29T10:58:00Z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2133539983</vt:i4>
  </property>
</Properties>
</file>